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4FEB1" w14:textId="77777777" w:rsidR="00CB1126" w:rsidRDefault="00CB1126" w:rsidP="00CB1126">
      <w:pPr>
        <w:jc w:val="center"/>
      </w:pPr>
      <w:r w:rsidRPr="00C7147B">
        <w:rPr>
          <w:noProof/>
          <w:lang w:eastAsia="bs-Latn-BA"/>
        </w:rPr>
        <w:drawing>
          <wp:inline distT="0" distB="0" distL="0" distR="0" wp14:anchorId="2F59387E" wp14:editId="0CD904AB">
            <wp:extent cx="7958937" cy="838167"/>
            <wp:effectExtent l="0" t="0" r="0" b="635"/>
            <wp:docPr id="1" name="Picture 1" descr="INO_memo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O_memo%2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275" cy="83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BC862" w14:textId="77777777" w:rsidR="00CB1126" w:rsidRDefault="00CB1126" w:rsidP="00CB1126">
      <w:pPr>
        <w:jc w:val="center"/>
        <w:rPr>
          <w:lang w:val="hr-BA"/>
        </w:rPr>
      </w:pPr>
      <w:r w:rsidRPr="00C85DD1">
        <w:rPr>
          <w:b/>
          <w:i/>
          <w:sz w:val="20"/>
          <w:szCs w:val="20"/>
        </w:rPr>
        <w:t xml:space="preserve">Sarajevo, </w:t>
      </w:r>
      <w:r>
        <w:rPr>
          <w:b/>
          <w:i/>
          <w:sz w:val="20"/>
          <w:szCs w:val="20"/>
        </w:rPr>
        <w:t>Ul. Marka Marulića 2/6.  Telefon</w:t>
      </w:r>
      <w:r w:rsidRPr="00C85DD1">
        <w:rPr>
          <w:b/>
          <w:i/>
          <w:sz w:val="20"/>
          <w:szCs w:val="20"/>
        </w:rPr>
        <w:t>: 033-</w:t>
      </w:r>
      <w:r>
        <w:rPr>
          <w:b/>
          <w:i/>
          <w:sz w:val="20"/>
          <w:szCs w:val="20"/>
        </w:rPr>
        <w:t>246-550</w:t>
      </w:r>
      <w:r w:rsidRPr="00C85DD1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</w:rPr>
        <w:t xml:space="preserve"> </w:t>
      </w:r>
      <w:proofErr w:type="spellStart"/>
      <w:r w:rsidRPr="00C85DD1">
        <w:rPr>
          <w:b/>
          <w:i/>
          <w:sz w:val="20"/>
          <w:szCs w:val="20"/>
        </w:rPr>
        <w:t>Fax</w:t>
      </w:r>
      <w:proofErr w:type="spellEnd"/>
      <w:r w:rsidRPr="00C85DD1">
        <w:rPr>
          <w:b/>
          <w:i/>
          <w:sz w:val="20"/>
          <w:szCs w:val="20"/>
        </w:rPr>
        <w:t>: 033-</w:t>
      </w:r>
      <w:r>
        <w:rPr>
          <w:b/>
          <w:i/>
          <w:sz w:val="20"/>
          <w:szCs w:val="20"/>
        </w:rPr>
        <w:t>246 551 e-mail: info@ino.ba</w:t>
      </w:r>
    </w:p>
    <w:p w14:paraId="49E329A6" w14:textId="77777777" w:rsidR="00F103D5" w:rsidRDefault="001D36D7">
      <w:r w:rsidRPr="00277751">
        <w:t>Broj:</w:t>
      </w:r>
      <w:r w:rsidR="008232C1" w:rsidRPr="00277751">
        <w:tab/>
      </w:r>
      <w:r w:rsidR="00AD0A50">
        <w:t>05/1-07-1-</w:t>
      </w:r>
    </w:p>
    <w:p w14:paraId="2AC19B2D" w14:textId="77777777" w:rsidR="001D36D7" w:rsidRPr="00277751" w:rsidRDefault="001D36D7">
      <w:r w:rsidRPr="00277751">
        <w:t xml:space="preserve">Sarajevo, </w:t>
      </w:r>
      <w:r w:rsidR="00F103D5">
        <w:t xml:space="preserve">  </w:t>
      </w:r>
      <w:r w:rsidR="005D1A6C">
        <w:t xml:space="preserve">                </w:t>
      </w:r>
      <w:r w:rsidR="004A022E">
        <w:t>g</w:t>
      </w:r>
      <w:r w:rsidR="00AD0A50">
        <w:t>odine</w:t>
      </w:r>
      <w:r w:rsidR="004A022E">
        <w:t xml:space="preserve"> </w:t>
      </w:r>
      <w:r w:rsidR="004A022E">
        <w:tab/>
      </w:r>
      <w:r w:rsidR="004A022E">
        <w:tab/>
      </w:r>
      <w:r w:rsidR="004A022E">
        <w:tab/>
      </w:r>
      <w:r w:rsidR="004A022E">
        <w:tab/>
      </w:r>
      <w:r w:rsidR="004A022E">
        <w:tab/>
      </w:r>
      <w:r w:rsidR="004A022E">
        <w:tab/>
      </w:r>
      <w:r w:rsidR="004A022E">
        <w:tab/>
      </w:r>
      <w:r w:rsidR="004A022E">
        <w:tab/>
      </w:r>
      <w:r w:rsidR="004A022E">
        <w:tab/>
      </w:r>
      <w:r w:rsidR="00ED4325">
        <w:tab/>
      </w:r>
      <w:r w:rsidR="00ED4325">
        <w:tab/>
      </w:r>
      <w:r w:rsidR="00ED4325">
        <w:tab/>
      </w:r>
      <w:r w:rsidR="00ED4325">
        <w:tab/>
      </w:r>
      <w:r w:rsidR="004A022E" w:rsidRPr="00227075">
        <w:rPr>
          <w:b/>
        </w:rPr>
        <w:t>P</w:t>
      </w:r>
      <w:r w:rsidR="004A022E">
        <w:rPr>
          <w:b/>
        </w:rPr>
        <w:t>RIJEDLOG</w:t>
      </w:r>
    </w:p>
    <w:p w14:paraId="606AC6F7" w14:textId="77777777" w:rsidR="001D36D7" w:rsidRDefault="001D36D7"/>
    <w:p w14:paraId="7B5FE5B7" w14:textId="77777777" w:rsidR="00AD2A0C" w:rsidRPr="00277751" w:rsidRDefault="00AD2A0C"/>
    <w:p w14:paraId="28FCA494" w14:textId="77777777" w:rsidR="00322D29" w:rsidRPr="00AF7A9F" w:rsidRDefault="001D36D7" w:rsidP="001D36D7">
      <w:pPr>
        <w:jc w:val="both"/>
        <w:rPr>
          <w:color w:val="000000" w:themeColor="text1"/>
        </w:rPr>
      </w:pPr>
      <w:r w:rsidRPr="00277751">
        <w:t>Na osnovu člana 24. Zakona o ministarstvima i drugim organima uprave Bosne i Hercegovine  („Službeni glasnik BiH“, broj 05/03,42/03, 26/04, 42/04, 45/06, 88/07, 35/09, 59/09</w:t>
      </w:r>
      <w:r w:rsidR="00634F74" w:rsidRPr="00277751">
        <w:t>,</w:t>
      </w:r>
      <w:r w:rsidRPr="00277751">
        <w:t xml:space="preserve"> 103/09</w:t>
      </w:r>
      <w:r w:rsidR="00634F74" w:rsidRPr="00277751">
        <w:t>, 87/12, 06/13, 19/16 i 83/17</w:t>
      </w:r>
      <w:r w:rsidRPr="00277751">
        <w:t>)</w:t>
      </w:r>
      <w:r w:rsidR="00FA409A">
        <w:t xml:space="preserve">, </w:t>
      </w:r>
      <w:r w:rsidRPr="00277751">
        <w:t xml:space="preserve"> člana </w:t>
      </w:r>
      <w:r w:rsidR="00FA5393" w:rsidRPr="00277751">
        <w:t>11</w:t>
      </w:r>
      <w:r w:rsidR="00866273" w:rsidRPr="00277751">
        <w:t>.</w:t>
      </w:r>
      <w:r w:rsidRPr="00277751">
        <w:t>Odluke o godišnjem</w:t>
      </w:r>
      <w:r w:rsidR="005D1A6C">
        <w:t xml:space="preserve"> </w:t>
      </w:r>
      <w:r w:rsidRPr="00277751">
        <w:t xml:space="preserve">planiranju  rada i načinu </w:t>
      </w:r>
      <w:proofErr w:type="spellStart"/>
      <w:r w:rsidRPr="00277751">
        <w:t>praćenja</w:t>
      </w:r>
      <w:proofErr w:type="spellEnd"/>
      <w:r w:rsidRPr="00277751">
        <w:t xml:space="preserve"> i izvještavanja u institucijama Bosne i Hercegovine („Službeni glasnik  Bi</w:t>
      </w:r>
      <w:r w:rsidR="00D27E82" w:rsidRPr="00277751">
        <w:t>H</w:t>
      </w:r>
      <w:r w:rsidRPr="00277751">
        <w:t>“, broj 94/14 )</w:t>
      </w:r>
      <w:r w:rsidR="00322D29">
        <w:t xml:space="preserve"> </w:t>
      </w:r>
      <w:r w:rsidR="00FA409A">
        <w:t xml:space="preserve">i člana 18. Statuta </w:t>
      </w:r>
      <w:r w:rsidR="002D24A7">
        <w:t>I</w:t>
      </w:r>
      <w:r w:rsidR="00FA409A">
        <w:t xml:space="preserve">nstituta za nestale osobe Bosne i Hercegovine, </w:t>
      </w:r>
      <w:r w:rsidR="00322D29">
        <w:t xml:space="preserve">privremeni </w:t>
      </w:r>
      <w:r w:rsidR="00322D29" w:rsidRPr="00AF7A9F">
        <w:rPr>
          <w:color w:val="000000" w:themeColor="text1"/>
        </w:rPr>
        <w:t xml:space="preserve">Upravni odbor Instituta za nestale osobe Bosne i Hercegovine na svojoj </w:t>
      </w:r>
      <w:r w:rsidR="00CB1126">
        <w:rPr>
          <w:color w:val="000000" w:themeColor="text1"/>
        </w:rPr>
        <w:t>---</w:t>
      </w:r>
      <w:r w:rsidR="00AF7A9F" w:rsidRPr="00AF7A9F">
        <w:rPr>
          <w:color w:val="000000" w:themeColor="text1"/>
        </w:rPr>
        <w:t xml:space="preserve"> </w:t>
      </w:r>
      <w:r w:rsidR="00322D29" w:rsidRPr="00AF7A9F">
        <w:rPr>
          <w:color w:val="000000" w:themeColor="text1"/>
        </w:rPr>
        <w:t>sjednici</w:t>
      </w:r>
      <w:r w:rsidR="00AF7A9F" w:rsidRPr="00AF7A9F">
        <w:rPr>
          <w:color w:val="000000" w:themeColor="text1"/>
        </w:rPr>
        <w:t xml:space="preserve">, </w:t>
      </w:r>
      <w:r w:rsidR="00322D29" w:rsidRPr="00AF7A9F">
        <w:rPr>
          <w:color w:val="000000" w:themeColor="text1"/>
        </w:rPr>
        <w:t>održanoj dana</w:t>
      </w:r>
      <w:r w:rsidR="001221F0">
        <w:rPr>
          <w:color w:val="000000" w:themeColor="text1"/>
        </w:rPr>
        <w:t xml:space="preserve"> </w:t>
      </w:r>
      <w:r w:rsidR="00CB1126">
        <w:rPr>
          <w:color w:val="000000" w:themeColor="text1"/>
        </w:rPr>
        <w:t>--------</w:t>
      </w:r>
      <w:r w:rsidR="004357A5">
        <w:rPr>
          <w:color w:val="000000" w:themeColor="text1"/>
        </w:rPr>
        <w:t>.202</w:t>
      </w:r>
      <w:r w:rsidR="00CB1126">
        <w:rPr>
          <w:color w:val="000000" w:themeColor="text1"/>
        </w:rPr>
        <w:t>1</w:t>
      </w:r>
      <w:r w:rsidR="004357A5">
        <w:rPr>
          <w:color w:val="000000" w:themeColor="text1"/>
        </w:rPr>
        <w:t xml:space="preserve">. godine </w:t>
      </w:r>
      <w:r w:rsidR="00AF7A9F" w:rsidRPr="00AF7A9F">
        <w:rPr>
          <w:color w:val="000000" w:themeColor="text1"/>
        </w:rPr>
        <w:t xml:space="preserve"> </w:t>
      </w:r>
      <w:r w:rsidR="003C6E80" w:rsidRPr="00AF7A9F">
        <w:rPr>
          <w:color w:val="000000" w:themeColor="text1"/>
        </w:rPr>
        <w:t xml:space="preserve"> </w:t>
      </w:r>
      <w:r w:rsidR="00322D29" w:rsidRPr="00AF7A9F">
        <w:rPr>
          <w:color w:val="000000" w:themeColor="text1"/>
        </w:rPr>
        <w:t xml:space="preserve">u s v o j i o  j e </w:t>
      </w:r>
    </w:p>
    <w:p w14:paraId="7F42886B" w14:textId="77777777" w:rsidR="00E80EA9" w:rsidRPr="00277751" w:rsidRDefault="00112A4D" w:rsidP="001D36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7E7">
        <w:t xml:space="preserve">         </w:t>
      </w:r>
      <w:r w:rsidR="00227075">
        <w:t xml:space="preserve">                  </w:t>
      </w:r>
      <w:r w:rsidR="00AD0A50">
        <w:t xml:space="preserve">  </w:t>
      </w:r>
      <w:r w:rsidR="00227075">
        <w:t xml:space="preserve">    </w:t>
      </w:r>
      <w:r>
        <w:tab/>
      </w:r>
      <w:r>
        <w:tab/>
      </w:r>
      <w:r>
        <w:tab/>
      </w:r>
    </w:p>
    <w:p w14:paraId="36787C17" w14:textId="77777777" w:rsidR="00AD2A0C" w:rsidRDefault="00AD2A0C" w:rsidP="00112A4D">
      <w:pPr>
        <w:jc w:val="center"/>
        <w:rPr>
          <w:b/>
        </w:rPr>
      </w:pPr>
    </w:p>
    <w:p w14:paraId="473D44B7" w14:textId="77777777" w:rsidR="00112A4D" w:rsidRDefault="00FA5393" w:rsidP="00112A4D">
      <w:pPr>
        <w:jc w:val="center"/>
        <w:rPr>
          <w:b/>
        </w:rPr>
      </w:pPr>
      <w:r w:rsidRPr="00277751">
        <w:rPr>
          <w:b/>
        </w:rPr>
        <w:t>IZVJEŠTAJ</w:t>
      </w:r>
      <w:r w:rsidR="008C07E7">
        <w:rPr>
          <w:b/>
        </w:rPr>
        <w:t xml:space="preserve"> </w:t>
      </w:r>
      <w:r w:rsidRPr="00277751">
        <w:rPr>
          <w:b/>
        </w:rPr>
        <w:t xml:space="preserve"> O RADU</w:t>
      </w:r>
    </w:p>
    <w:p w14:paraId="1481E977" w14:textId="77777777" w:rsidR="001D36D7" w:rsidRPr="00277751" w:rsidRDefault="00112A4D" w:rsidP="00112A4D">
      <w:pPr>
        <w:jc w:val="center"/>
        <w:rPr>
          <w:b/>
        </w:rPr>
      </w:pPr>
      <w:r>
        <w:rPr>
          <w:b/>
        </w:rPr>
        <w:t>INSTIT</w:t>
      </w:r>
      <w:r w:rsidR="001D36D7" w:rsidRPr="00277751">
        <w:rPr>
          <w:b/>
        </w:rPr>
        <w:t>UTA ZA NESTALE OSOBE BOSNE I HERCEGOVINE</w:t>
      </w:r>
      <w:r w:rsidR="00CC062F" w:rsidRPr="00277751">
        <w:rPr>
          <w:b/>
        </w:rPr>
        <w:t xml:space="preserve"> ZA 20</w:t>
      </w:r>
      <w:r w:rsidR="00CB1126">
        <w:rPr>
          <w:b/>
        </w:rPr>
        <w:t>20</w:t>
      </w:r>
      <w:r w:rsidR="00FE543C">
        <w:rPr>
          <w:b/>
        </w:rPr>
        <w:t>.</w:t>
      </w:r>
      <w:r w:rsidR="00CC062F" w:rsidRPr="00277751">
        <w:rPr>
          <w:b/>
        </w:rPr>
        <w:t>GODINU</w:t>
      </w:r>
    </w:p>
    <w:p w14:paraId="56E62A8F" w14:textId="77777777" w:rsidR="00B72BAA" w:rsidRPr="00277751" w:rsidRDefault="00B72BAA" w:rsidP="00112A4D">
      <w:pPr>
        <w:jc w:val="center"/>
        <w:rPr>
          <w:b/>
        </w:rPr>
      </w:pPr>
    </w:p>
    <w:p w14:paraId="56FB8FDB" w14:textId="77777777" w:rsidR="005D1A6C" w:rsidRDefault="005D1A6C" w:rsidP="001D36D7">
      <w:pPr>
        <w:rPr>
          <w:b/>
        </w:rPr>
      </w:pPr>
    </w:p>
    <w:p w14:paraId="0BCAB195" w14:textId="77777777" w:rsidR="001D36D7" w:rsidRPr="00277751" w:rsidRDefault="001D36D7" w:rsidP="001D36D7">
      <w:pPr>
        <w:rPr>
          <w:b/>
        </w:rPr>
      </w:pPr>
      <w:r w:rsidRPr="00277751">
        <w:rPr>
          <w:b/>
        </w:rPr>
        <w:t>I</w:t>
      </w:r>
      <w:r w:rsidR="00CC062F" w:rsidRPr="00277751">
        <w:rPr>
          <w:b/>
        </w:rPr>
        <w:t xml:space="preserve">  </w:t>
      </w:r>
      <w:r w:rsidRPr="00277751">
        <w:rPr>
          <w:b/>
        </w:rPr>
        <w:t xml:space="preserve"> U V O D </w:t>
      </w:r>
    </w:p>
    <w:p w14:paraId="7A0B5F9E" w14:textId="77777777" w:rsidR="00CC062F" w:rsidRPr="00277751" w:rsidRDefault="00CC062F" w:rsidP="001D36D7">
      <w:pPr>
        <w:rPr>
          <w:b/>
        </w:rPr>
      </w:pPr>
    </w:p>
    <w:p w14:paraId="21601CF9" w14:textId="77777777" w:rsidR="0011180F" w:rsidRPr="00277751" w:rsidRDefault="0011180F" w:rsidP="003B52FA">
      <w:pPr>
        <w:jc w:val="both"/>
      </w:pPr>
      <w:r w:rsidRPr="00277751">
        <w:t>Osnivanje i pravni status Instituta za nestale osobe Bosne i Hercegovine (u daljem tekstu:</w:t>
      </w:r>
      <w:r w:rsidR="00866273" w:rsidRPr="00277751">
        <w:t xml:space="preserve"> </w:t>
      </w:r>
      <w:r w:rsidRPr="00277751">
        <w:t xml:space="preserve">Institut), kao i njegove </w:t>
      </w:r>
      <w:proofErr w:type="spellStart"/>
      <w:r w:rsidRPr="00277751">
        <w:t>nadležnosti</w:t>
      </w:r>
      <w:proofErr w:type="spellEnd"/>
      <w:r w:rsidRPr="00277751">
        <w:t xml:space="preserve"> i način rada, uređeni su Zakonom o nestalim osobama Bosne i Hercegovine (</w:t>
      </w:r>
      <w:r w:rsidRPr="00277751">
        <w:rPr>
          <w:bCs/>
        </w:rPr>
        <w:t>"Službeni glasnik BiH", broj 50/04), (</w:t>
      </w:r>
      <w:r w:rsidRPr="00277751">
        <w:t>u daljem tekst: Zakon) i Sporazumom o preuzimanju uloge suosnivača za Institut za nestale osobe Bosne i Hercegovine, između Vijeća ministara Bosne i Hercegovine i Međunarodne komisije za nestale osobe – ICMP (u daljnjem tekstu: Sporazum).</w:t>
      </w:r>
    </w:p>
    <w:p w14:paraId="7F443792" w14:textId="77777777" w:rsidR="0011180F" w:rsidRPr="00277751" w:rsidRDefault="0011180F" w:rsidP="00ED4610">
      <w:pPr>
        <w:ind w:right="-457"/>
        <w:jc w:val="both"/>
      </w:pPr>
    </w:p>
    <w:p w14:paraId="7714E84D" w14:textId="77777777" w:rsidR="0011180F" w:rsidRDefault="0011180F" w:rsidP="003B52FA">
      <w:pPr>
        <w:jc w:val="both"/>
      </w:pPr>
      <w:r w:rsidRPr="00277751">
        <w:t xml:space="preserve">Organi upravljanja, rukovođenja i nadzora u Institutu su: Upravni odbor, Kolegij direktora i Nadzorni odbor. Radi ostvarivanja </w:t>
      </w:r>
      <w:proofErr w:type="spellStart"/>
      <w:r w:rsidRPr="00277751">
        <w:t>interesa</w:t>
      </w:r>
      <w:proofErr w:type="spellEnd"/>
      <w:r w:rsidRPr="00277751">
        <w:t xml:space="preserve"> članova obitelji  nestalih osoba  u okviru Instituta formiran je Savjetodavni odbor.</w:t>
      </w:r>
    </w:p>
    <w:p w14:paraId="7820D35F" w14:textId="77777777" w:rsidR="00FE2EFB" w:rsidRDefault="00FE2EFB" w:rsidP="00ED4610">
      <w:pPr>
        <w:ind w:right="-457"/>
        <w:jc w:val="both"/>
      </w:pPr>
    </w:p>
    <w:p w14:paraId="1E59D807" w14:textId="77777777" w:rsidR="00FE2EFB" w:rsidRDefault="00FE2EFB" w:rsidP="003B52FA">
      <w:pPr>
        <w:jc w:val="both"/>
        <w:rPr>
          <w:lang w:val="sr-Latn-BA"/>
        </w:rPr>
      </w:pPr>
      <w:r>
        <w:rPr>
          <w:lang w:val="sr-Latn-BA"/>
        </w:rPr>
        <w:t>Obzirom na značaj i ulogu svakog od navedenih</w:t>
      </w:r>
      <w:r w:rsidR="009F0015">
        <w:rPr>
          <w:lang w:val="sr-Latn-BA"/>
        </w:rPr>
        <w:t xml:space="preserve"> </w:t>
      </w:r>
      <w:r w:rsidR="00263C08">
        <w:rPr>
          <w:lang w:val="sr-Latn-BA"/>
        </w:rPr>
        <w:t xml:space="preserve">organa, ovaj </w:t>
      </w:r>
      <w:r w:rsidR="005D1A6C">
        <w:rPr>
          <w:lang w:val="sr-Latn-BA"/>
        </w:rPr>
        <w:t>I</w:t>
      </w:r>
      <w:r w:rsidR="00263C08">
        <w:rPr>
          <w:lang w:val="sr-Latn-BA"/>
        </w:rPr>
        <w:t>zvještaj ujedno prikazuje</w:t>
      </w:r>
      <w:r>
        <w:rPr>
          <w:lang w:val="sr-Latn-BA"/>
        </w:rPr>
        <w:t xml:space="preserve"> rad i djelovanje privremenog Upravnog odbora, </w:t>
      </w:r>
      <w:r w:rsidR="004357A5">
        <w:rPr>
          <w:lang w:val="sr-Latn-BA"/>
        </w:rPr>
        <w:t xml:space="preserve"> Kolegija direktora, </w:t>
      </w:r>
      <w:r>
        <w:rPr>
          <w:lang w:val="sr-Latn-BA"/>
        </w:rPr>
        <w:t>Nadzornog odbora</w:t>
      </w:r>
      <w:r w:rsidR="00E84B3A">
        <w:rPr>
          <w:lang w:val="sr-Latn-BA"/>
        </w:rPr>
        <w:t xml:space="preserve"> i Savjetodavnog odbora u 20</w:t>
      </w:r>
      <w:r w:rsidR="00CB1126">
        <w:rPr>
          <w:lang w:val="sr-Latn-BA"/>
        </w:rPr>
        <w:t>20</w:t>
      </w:r>
      <w:r w:rsidR="00E84B3A">
        <w:rPr>
          <w:lang w:val="sr-Latn-BA"/>
        </w:rPr>
        <w:t>.</w:t>
      </w:r>
      <w:r>
        <w:rPr>
          <w:lang w:val="sr-Latn-BA"/>
        </w:rPr>
        <w:t xml:space="preserve">godini. </w:t>
      </w:r>
    </w:p>
    <w:p w14:paraId="77C14966" w14:textId="77777777" w:rsidR="0011180F" w:rsidRPr="00FE2EFB" w:rsidRDefault="0011180F" w:rsidP="00ED4610">
      <w:pPr>
        <w:ind w:right="-457"/>
        <w:jc w:val="both"/>
        <w:rPr>
          <w:lang w:val="sr-Latn-BA"/>
        </w:rPr>
      </w:pPr>
    </w:p>
    <w:p w14:paraId="4D29CB7C" w14:textId="77777777" w:rsidR="0011180F" w:rsidRPr="00B54C5F" w:rsidRDefault="0011180F" w:rsidP="003B52FA">
      <w:pPr>
        <w:jc w:val="both"/>
      </w:pPr>
      <w:r w:rsidRPr="00B54C5F">
        <w:t>U svom djelovanju</w:t>
      </w:r>
      <w:r w:rsidR="00FA5393" w:rsidRPr="00B54C5F">
        <w:t xml:space="preserve">  </w:t>
      </w:r>
      <w:r w:rsidR="00411BC0" w:rsidRPr="00B54C5F">
        <w:t xml:space="preserve">privremeni </w:t>
      </w:r>
      <w:r w:rsidRPr="00B54C5F">
        <w:t>Upravni odbor je tokom 20</w:t>
      </w:r>
      <w:r w:rsidR="00CB1126">
        <w:t>20</w:t>
      </w:r>
      <w:r w:rsidR="00E84B3A" w:rsidRPr="00B54C5F">
        <w:t>.</w:t>
      </w:r>
      <w:r w:rsidRPr="00B54C5F">
        <w:t xml:space="preserve">godine </w:t>
      </w:r>
      <w:proofErr w:type="spellStart"/>
      <w:r w:rsidRPr="00B54C5F">
        <w:t>održao</w:t>
      </w:r>
      <w:proofErr w:type="spellEnd"/>
      <w:r w:rsidRPr="00B54C5F">
        <w:t xml:space="preserve"> </w:t>
      </w:r>
      <w:r w:rsidR="00B54C5F" w:rsidRPr="00B54C5F">
        <w:t>1</w:t>
      </w:r>
      <w:r w:rsidR="00772D3B">
        <w:t>1</w:t>
      </w:r>
      <w:r w:rsidR="00411BC0" w:rsidRPr="00B54C5F">
        <w:t xml:space="preserve"> </w:t>
      </w:r>
      <w:r w:rsidRPr="00B54C5F">
        <w:t xml:space="preserve">redovnih sjednica, na kojima </w:t>
      </w:r>
      <w:r w:rsidR="00F9209A" w:rsidRPr="00B54C5F">
        <w:t xml:space="preserve">je </w:t>
      </w:r>
      <w:r w:rsidR="009F0015" w:rsidRPr="00B54C5F">
        <w:t xml:space="preserve"> razmatrao</w:t>
      </w:r>
      <w:r w:rsidR="005D1A6C">
        <w:t xml:space="preserve"> </w:t>
      </w:r>
      <w:r w:rsidR="00772D3B">
        <w:t xml:space="preserve">59 </w:t>
      </w:r>
      <w:r w:rsidRPr="00B54C5F">
        <w:t xml:space="preserve"> tač</w:t>
      </w:r>
      <w:r w:rsidR="00411BC0" w:rsidRPr="00B54C5F">
        <w:t>a</w:t>
      </w:r>
      <w:r w:rsidRPr="00B54C5F">
        <w:t>k</w:t>
      </w:r>
      <w:r w:rsidR="00F9209A" w:rsidRPr="00B54C5F">
        <w:t>a</w:t>
      </w:r>
      <w:r w:rsidRPr="00B54C5F">
        <w:t xml:space="preserve"> dnevnog reda</w:t>
      </w:r>
      <w:r w:rsidR="00F9209A" w:rsidRPr="00B54C5F">
        <w:t>.</w:t>
      </w:r>
      <w:r w:rsidR="00593B8F" w:rsidRPr="00B54C5F">
        <w:t xml:space="preserve"> </w:t>
      </w:r>
      <w:r w:rsidRPr="00B54C5F">
        <w:t>Svi članovi su aktivno učestvovali u raspravama, a sve odluke i zaključci su doneseni u skladu sa Poslovnikom o radu Upravnog odbora.</w:t>
      </w:r>
    </w:p>
    <w:p w14:paraId="57703095" w14:textId="77777777" w:rsidR="004B4B25" w:rsidRPr="00FA409A" w:rsidRDefault="004B4B25" w:rsidP="004B4B25">
      <w:pPr>
        <w:ind w:right="4"/>
        <w:jc w:val="both"/>
      </w:pPr>
      <w:r w:rsidRPr="00FA409A">
        <w:t xml:space="preserve">U izvještajnom periodu članovi Kolegija direktora su  </w:t>
      </w:r>
      <w:proofErr w:type="spellStart"/>
      <w:r w:rsidRPr="00FA409A">
        <w:t>održali</w:t>
      </w:r>
      <w:proofErr w:type="spellEnd"/>
      <w:r w:rsidRPr="00FA409A">
        <w:t xml:space="preserve">  3</w:t>
      </w:r>
      <w:r w:rsidR="00FA409A" w:rsidRPr="00FA409A">
        <w:t>7</w:t>
      </w:r>
      <w:r w:rsidRPr="00FA409A">
        <w:t xml:space="preserve"> sjednica na kojima su razmatrali </w:t>
      </w:r>
      <w:r w:rsidR="00FA409A" w:rsidRPr="00FA409A">
        <w:t>211</w:t>
      </w:r>
      <w:r w:rsidRPr="00FA409A">
        <w:t xml:space="preserve"> tač</w:t>
      </w:r>
      <w:r w:rsidR="00FA409A" w:rsidRPr="00FA409A">
        <w:t>aka</w:t>
      </w:r>
      <w:r w:rsidRPr="00FA409A">
        <w:t xml:space="preserve"> dnevnog reda. </w:t>
      </w:r>
    </w:p>
    <w:p w14:paraId="0604AA7C" w14:textId="77777777" w:rsidR="004B4B25" w:rsidRPr="00772D3B" w:rsidRDefault="004B4B25" w:rsidP="004B4B25">
      <w:pPr>
        <w:pStyle w:val="Normalno1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772D3B">
        <w:rPr>
          <w:bdr w:val="none" w:sz="0" w:space="0" w:color="auto" w:frame="1"/>
        </w:rPr>
        <w:lastRenderedPageBreak/>
        <w:t xml:space="preserve">Uzimajući u obzir da je </w:t>
      </w:r>
      <w:proofErr w:type="spellStart"/>
      <w:r w:rsidRPr="00772D3B">
        <w:rPr>
          <w:bdr w:val="none" w:sz="0" w:space="0" w:color="auto" w:frame="1"/>
        </w:rPr>
        <w:t>pandemija</w:t>
      </w:r>
      <w:proofErr w:type="spellEnd"/>
      <w:r w:rsidRPr="00772D3B">
        <w:rPr>
          <w:bdr w:val="none" w:sz="0" w:space="0" w:color="auto" w:frame="1"/>
        </w:rPr>
        <w:t xml:space="preserve"> bolesti COVID-19 na nezapamćeni  način pogodila sve države svijeta, pa tako i Bosnu i Hercegovinu,  Kolegij direktora se susreo sa izazovom  organizacije procesa rada  i aktivnosti u  okolnostima ograničenog kretanja i međusobne komunikacije ljudi. Osim što je poduzimao mjere sprečavanja širenja bolesti COVID 19 među zaposlenicima Instituta za nestale osobe Bosne i Hercegovine, istovremeno je  radio i na nastavku  procesa  pronalaska i identifikacije nestalih osoba kako na državnom tako i na  regionalnom nivou.</w:t>
      </w:r>
    </w:p>
    <w:p w14:paraId="7C0D0F2A" w14:textId="77777777" w:rsidR="004B4B25" w:rsidRPr="00772D3B" w:rsidRDefault="004B4B25" w:rsidP="004B4B25">
      <w:pPr>
        <w:pStyle w:val="Normalno1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1C0BC056" w14:textId="77777777" w:rsidR="004B4B25" w:rsidRPr="00772D3B" w:rsidRDefault="004B4B25" w:rsidP="004B4B25">
      <w:pPr>
        <w:jc w:val="both"/>
      </w:pPr>
      <w:r w:rsidRPr="00772D3B">
        <w:t xml:space="preserve">U tom pogledu fokus rada Kolegija direktora u 2020.  godini bile su aktivnosti u okviru  </w:t>
      </w:r>
      <w:r w:rsidRPr="00772D3B">
        <w:rPr>
          <w:lang w:eastAsia="bs-Latn-BA"/>
        </w:rPr>
        <w:t xml:space="preserve">Grupe za nestale osobe regije zapadnog Balkana, čiji su njeni aktivni članovi (u daljem tekst – GNO). GNO okuplja čelne predstavnike institucija vlasti </w:t>
      </w:r>
      <w:r w:rsidRPr="00772D3B">
        <w:rPr>
          <w:bCs/>
          <w:lang w:eastAsia="bs-Latn-BA"/>
        </w:rPr>
        <w:t xml:space="preserve">Bosne i Hercegovine, Crne Gore, Hrvatske, Kosova i Srbije, </w:t>
      </w:r>
      <w:r w:rsidRPr="00772D3B">
        <w:rPr>
          <w:lang w:eastAsia="bs-Latn-BA"/>
        </w:rPr>
        <w:t>koje su odgovorne za rješavanje pitanja nestalih  osoba. GNO</w:t>
      </w:r>
      <w:r w:rsidR="003239F2" w:rsidRPr="00772D3B">
        <w:rPr>
          <w:lang w:eastAsia="bs-Latn-BA"/>
        </w:rPr>
        <w:t xml:space="preserve"> je</w:t>
      </w:r>
      <w:r w:rsidRPr="00772D3B">
        <w:rPr>
          <w:lang w:eastAsia="bs-Latn-BA"/>
        </w:rPr>
        <w:t xml:space="preserve"> osnovana  2018. godine, u okviru Berlinskog procesa za zapadni Balkan, kako bi se ojačali napori na pronalaženju osoba nestalih uslijed sukoba 1990-ih godina na području bivše Jugoslavije i  ima važnu supervizorsku ulogu koja proističe iz Okvirnog plana za rješavanje pitanja osoba nestalih uslijed sukoba na području bivše Jugoslavije, potpisanog u novembru 2018. godine </w:t>
      </w:r>
      <w:r w:rsidRPr="00772D3B">
        <w:t xml:space="preserve">u Hagu. </w:t>
      </w:r>
    </w:p>
    <w:p w14:paraId="09DE634F" w14:textId="77777777" w:rsidR="004B4B25" w:rsidRPr="00772D3B" w:rsidRDefault="004B4B25" w:rsidP="004B4B25">
      <w:pPr>
        <w:jc w:val="both"/>
      </w:pPr>
    </w:p>
    <w:p w14:paraId="33948CCA" w14:textId="77777777" w:rsidR="004B4B25" w:rsidRPr="00772D3B" w:rsidRDefault="004B4B25" w:rsidP="004B4B25">
      <w:pPr>
        <w:spacing w:after="384"/>
        <w:jc w:val="both"/>
      </w:pPr>
      <w:r w:rsidRPr="00772D3B">
        <w:rPr>
          <w:lang w:eastAsia="bs-Latn-BA"/>
        </w:rPr>
        <w:t xml:space="preserve">Okvirni plan je </w:t>
      </w:r>
      <w:proofErr w:type="spellStart"/>
      <w:r w:rsidRPr="00772D3B">
        <w:rPr>
          <w:lang w:eastAsia="bs-Latn-BA"/>
        </w:rPr>
        <w:t>inače</w:t>
      </w:r>
      <w:proofErr w:type="spellEnd"/>
      <w:r w:rsidRPr="00772D3B">
        <w:rPr>
          <w:lang w:eastAsia="bs-Latn-BA"/>
        </w:rPr>
        <w:t xml:space="preserve"> obaveza predviđena Deklaracijom koju su u julu 2018. godine u Londonu potpisali predsjedavajući Vijeća ministara Bosne i Hercegovine i premijeri Kosova, Crne Gore, Srbije, Albanije, Hrvatske, Njemačke, Ujedinjenog Kraljevstva, Austrije, Bugarske, Francuske, Italije, Slovenije i Poljske</w:t>
      </w:r>
      <w:r w:rsidR="003239F2" w:rsidRPr="00772D3B">
        <w:rPr>
          <w:lang w:eastAsia="bs-Latn-BA"/>
        </w:rPr>
        <w:t>,</w:t>
      </w:r>
      <w:r w:rsidRPr="00772D3B">
        <w:rPr>
          <w:lang w:eastAsia="bs-Latn-BA"/>
        </w:rPr>
        <w:t xml:space="preserve"> potvrdivši time svoju posvećenost </w:t>
      </w:r>
      <w:proofErr w:type="spellStart"/>
      <w:r w:rsidRPr="00772D3B">
        <w:rPr>
          <w:lang w:eastAsia="bs-Latn-BA"/>
        </w:rPr>
        <w:t>podržavanju</w:t>
      </w:r>
      <w:proofErr w:type="spellEnd"/>
      <w:r w:rsidRPr="00772D3B">
        <w:rPr>
          <w:lang w:eastAsia="bs-Latn-BA"/>
        </w:rPr>
        <w:t xml:space="preserve"> napora da se pronađe i </w:t>
      </w:r>
      <w:proofErr w:type="spellStart"/>
      <w:r w:rsidRPr="00772D3B">
        <w:rPr>
          <w:lang w:eastAsia="bs-Latn-BA"/>
        </w:rPr>
        <w:t>identifikuje</w:t>
      </w:r>
      <w:proofErr w:type="spellEnd"/>
      <w:r w:rsidRPr="00772D3B">
        <w:rPr>
          <w:lang w:eastAsia="bs-Latn-BA"/>
        </w:rPr>
        <w:t xml:space="preserve"> 12.000 ljudi koji se još uvijek smatraju nestalima uslijed sukoba na tlu bivše Jugoslavije.</w:t>
      </w:r>
      <w:r w:rsidRPr="00772D3B">
        <w:t xml:space="preserve"> Provedbu Okvirnog plana finansira Ujedinjeno Kraljevstvo.</w:t>
      </w:r>
    </w:p>
    <w:p w14:paraId="64E9F8F9" w14:textId="77777777" w:rsidR="004B4B25" w:rsidRPr="00772D3B" w:rsidRDefault="004B4B25" w:rsidP="004B4B25">
      <w:pPr>
        <w:jc w:val="both"/>
        <w:rPr>
          <w:lang w:eastAsia="bs-Latn-BA"/>
        </w:rPr>
      </w:pPr>
      <w:r w:rsidRPr="00772D3B">
        <w:rPr>
          <w:lang w:eastAsia="bs-Latn-BA"/>
        </w:rPr>
        <w:t xml:space="preserve">Dana 30. januara 2020. godine na sastanku  održanom u  Prištini  GNO je donijela ključne odluke o zajedničkim aktivnostima u 2020. godini i to: </w:t>
      </w:r>
      <w:proofErr w:type="spellStart"/>
      <w:r w:rsidRPr="00772D3B">
        <w:rPr>
          <w:lang w:eastAsia="bs-Latn-BA"/>
        </w:rPr>
        <w:t>održavanje</w:t>
      </w:r>
      <w:proofErr w:type="spellEnd"/>
      <w:r w:rsidRPr="00772D3B">
        <w:rPr>
          <w:lang w:eastAsia="bs-Latn-BA"/>
        </w:rPr>
        <w:t xml:space="preserve"> bilateralnih sastanaka kako bi se odredile prioritetne zajedničke </w:t>
      </w:r>
      <w:proofErr w:type="spellStart"/>
      <w:r w:rsidRPr="00772D3B">
        <w:rPr>
          <w:lang w:eastAsia="bs-Latn-BA"/>
        </w:rPr>
        <w:t>predvizite</w:t>
      </w:r>
      <w:proofErr w:type="spellEnd"/>
      <w:r w:rsidRPr="00772D3B">
        <w:rPr>
          <w:lang w:eastAsia="bs-Latn-BA"/>
        </w:rPr>
        <w:t xml:space="preserve"> i iskopavanja potencijalnih lokacija masovnih grobnica, nastavak saradnje sa Međunarodnom komisijom za nestale osobe (ICMP) na forenzičkim pregledima i uzimanju bioloških uzoraka NN (neidentifikovanih) slučajeva posmrtnih ostataka, kako bi se </w:t>
      </w:r>
      <w:proofErr w:type="spellStart"/>
      <w:r w:rsidRPr="00772D3B">
        <w:rPr>
          <w:lang w:eastAsia="bs-Latn-BA"/>
        </w:rPr>
        <w:t>omogućila</w:t>
      </w:r>
      <w:proofErr w:type="spellEnd"/>
      <w:r w:rsidR="00F23587">
        <w:rPr>
          <w:lang w:eastAsia="bs-Latn-BA"/>
        </w:rPr>
        <w:t xml:space="preserve">  </w:t>
      </w:r>
      <w:r w:rsidRPr="00772D3B">
        <w:rPr>
          <w:lang w:eastAsia="bs-Latn-BA"/>
        </w:rPr>
        <w:t xml:space="preserve">DNK analiza u svrhu identifikacije nestalih osoba, te zajedničko obilježavanje Međunarodnog dana nestalih i objavljivanje zajedničkog apela (putem video poruke) za informacijama o mogućim lokacijama masovnih i pojedinačnih grobnica. Na sastanku su članovi GNO-a razgovarali </w:t>
      </w:r>
      <w:r w:rsidR="003239F2" w:rsidRPr="00772D3B">
        <w:rPr>
          <w:lang w:eastAsia="bs-Latn-BA"/>
        </w:rPr>
        <w:t xml:space="preserve">o </w:t>
      </w:r>
      <w:r w:rsidRPr="00772D3B">
        <w:rPr>
          <w:lang w:eastAsia="bs-Latn-BA"/>
        </w:rPr>
        <w:t>dinamici i prioritetima provođenja Okvirnog plana koji je potpisan u novembru 2018. godine u Hagu.</w:t>
      </w:r>
    </w:p>
    <w:p w14:paraId="7F014F41" w14:textId="77777777" w:rsidR="004B4B25" w:rsidRPr="00772D3B" w:rsidRDefault="004B4B25" w:rsidP="004B4B25">
      <w:pPr>
        <w:jc w:val="both"/>
        <w:rPr>
          <w:lang w:eastAsia="bs-Latn-BA"/>
        </w:rPr>
      </w:pPr>
    </w:p>
    <w:p w14:paraId="704A78E8" w14:textId="77777777" w:rsidR="004B4B25" w:rsidRPr="00772D3B" w:rsidRDefault="004B4B25" w:rsidP="004B4B25">
      <w:pPr>
        <w:spacing w:after="384"/>
        <w:jc w:val="both"/>
        <w:rPr>
          <w:color w:val="000000"/>
        </w:rPr>
      </w:pPr>
      <w:r w:rsidRPr="00772D3B">
        <w:rPr>
          <w:bCs/>
          <w:lang w:eastAsia="bs-Latn-BA"/>
        </w:rPr>
        <w:t xml:space="preserve">Dana  26. oktobara 2020. godine na sastanku održanom u Beogradu GNO je usvojila  Drugi godišnji izvještaj o radu GNO-a. </w:t>
      </w:r>
      <w:r w:rsidRPr="00772D3B">
        <w:rPr>
          <w:lang w:eastAsia="bs-Latn-BA"/>
        </w:rPr>
        <w:t>Izvještaj pokriva period od jula 2019. do novembra 2020. godine i bit će predstavljen u okviru samita Berlinskog procesa.</w:t>
      </w:r>
      <w:r w:rsidRPr="00772D3B">
        <w:rPr>
          <w:color w:val="000000"/>
        </w:rPr>
        <w:t xml:space="preserve">  Prvi godišnji izvještaj GNO-a također je predstavljen na samitu Berlinskog procesa u julu 2019. godine u poljskom gradu </w:t>
      </w:r>
      <w:proofErr w:type="spellStart"/>
      <w:r w:rsidRPr="00772D3B">
        <w:rPr>
          <w:color w:val="000000"/>
        </w:rPr>
        <w:t>Poznanju</w:t>
      </w:r>
      <w:proofErr w:type="spellEnd"/>
      <w:r w:rsidRPr="00772D3B">
        <w:rPr>
          <w:color w:val="000000"/>
        </w:rPr>
        <w:t>.</w:t>
      </w:r>
    </w:p>
    <w:p w14:paraId="740D45B4" w14:textId="77777777" w:rsidR="004B4B25" w:rsidRPr="00772D3B" w:rsidRDefault="004B4B25" w:rsidP="004B4B25">
      <w:pPr>
        <w:spacing w:after="384"/>
        <w:jc w:val="both"/>
        <w:rPr>
          <w:color w:val="000000"/>
        </w:rPr>
      </w:pPr>
      <w:r w:rsidRPr="00772D3B">
        <w:rPr>
          <w:lang w:eastAsia="bs-Latn-BA"/>
        </w:rPr>
        <w:t xml:space="preserve">U izvještaju je istaknuto da je od jula 2019. godine GNO riješila pitanje 387 slučajeva nestalih osoba, a svaka identifikacija je zabilježena u Regionalnoj bazi podataka aktivnih slučajeva nestalih </w:t>
      </w:r>
      <w:r w:rsidR="003239F2" w:rsidRPr="00772D3B">
        <w:rPr>
          <w:lang w:eastAsia="bs-Latn-BA"/>
        </w:rPr>
        <w:t>,</w:t>
      </w:r>
      <w:r w:rsidRPr="00772D3B">
        <w:rPr>
          <w:lang w:eastAsia="bs-Latn-BA"/>
        </w:rPr>
        <w:t xml:space="preserve"> što ukazuje na konkretan napredak, uprkos izazovima s kojima se regija suočava. U izvještaju je također istaknuto da je GNO odgovorna  za to da se pronađe i </w:t>
      </w:r>
      <w:proofErr w:type="spellStart"/>
      <w:r w:rsidRPr="00772D3B">
        <w:rPr>
          <w:lang w:eastAsia="bs-Latn-BA"/>
        </w:rPr>
        <w:t>identifikuje</w:t>
      </w:r>
      <w:proofErr w:type="spellEnd"/>
      <w:r w:rsidRPr="00772D3B">
        <w:rPr>
          <w:lang w:eastAsia="bs-Latn-BA"/>
        </w:rPr>
        <w:t xml:space="preserve"> preostalih oko 12.000 nestalih osoba,  nestalih uslijed sukoba na prostoru bivše Jugoslavije za kojima se još uvijek traga i da se porodicama nestalih pruže pouzdane i tačne informacije. Aktivnim učešćem sve strane pokazuju koliko su posvećene ispunjavanju obaveze koju ima svaka država, a to je provesti efikasnu istragu o svim slučajevima nestalih osoba na temelju vladavine zakona. </w:t>
      </w:r>
    </w:p>
    <w:p w14:paraId="3C37FA1C" w14:textId="77777777" w:rsidR="004B4B25" w:rsidRPr="00772D3B" w:rsidRDefault="004B4B25" w:rsidP="004B4B25">
      <w:pPr>
        <w:spacing w:after="384"/>
        <w:jc w:val="both"/>
        <w:rPr>
          <w:lang w:eastAsia="bs-Latn-BA"/>
        </w:rPr>
      </w:pPr>
      <w:r w:rsidRPr="00772D3B">
        <w:rPr>
          <w:bCs/>
          <w:lang w:eastAsia="bs-Latn-BA"/>
        </w:rPr>
        <w:lastRenderedPageBreak/>
        <w:t xml:space="preserve">Dana  16. decembar 2020. godine u Sarajevu je održan online sastanak, na kojem su prisustvovali učesnici Berlinskog procesa i članovi GNO. Na sastanku su učestvovali </w:t>
      </w:r>
      <w:proofErr w:type="spellStart"/>
      <w:r w:rsidRPr="00772D3B">
        <w:rPr>
          <w:bCs/>
          <w:lang w:eastAsia="bs-Latn-BA"/>
        </w:rPr>
        <w:t>Wendy</w:t>
      </w:r>
      <w:proofErr w:type="spellEnd"/>
      <w:r w:rsidRPr="00772D3B">
        <w:rPr>
          <w:bCs/>
          <w:lang w:eastAsia="bs-Latn-BA"/>
        </w:rPr>
        <w:t xml:space="preserve"> </w:t>
      </w:r>
      <w:proofErr w:type="spellStart"/>
      <w:r w:rsidRPr="00772D3B">
        <w:rPr>
          <w:bCs/>
          <w:lang w:eastAsia="bs-Latn-BA"/>
        </w:rPr>
        <w:t>Morton</w:t>
      </w:r>
      <w:proofErr w:type="spellEnd"/>
      <w:r w:rsidRPr="00772D3B">
        <w:rPr>
          <w:bCs/>
          <w:lang w:eastAsia="bs-Latn-BA"/>
        </w:rPr>
        <w:t xml:space="preserve">, Ministrica za evropsko susjedstvo i Ameriku Ujedinjenog kraljevstva, </w:t>
      </w:r>
      <w:proofErr w:type="spellStart"/>
      <w:r w:rsidRPr="00772D3B">
        <w:rPr>
          <w:bCs/>
          <w:lang w:eastAsia="bs-Latn-BA"/>
        </w:rPr>
        <w:t>Andrew</w:t>
      </w:r>
      <w:proofErr w:type="spellEnd"/>
      <w:r w:rsidRPr="00772D3B">
        <w:rPr>
          <w:bCs/>
          <w:lang w:eastAsia="bs-Latn-BA"/>
        </w:rPr>
        <w:t xml:space="preserve"> </w:t>
      </w:r>
      <w:proofErr w:type="spellStart"/>
      <w:r w:rsidRPr="00772D3B">
        <w:rPr>
          <w:bCs/>
          <w:lang w:eastAsia="bs-Latn-BA"/>
        </w:rPr>
        <w:t>Page</w:t>
      </w:r>
      <w:proofErr w:type="spellEnd"/>
      <w:r w:rsidRPr="00772D3B">
        <w:rPr>
          <w:bCs/>
          <w:lang w:eastAsia="bs-Latn-BA"/>
        </w:rPr>
        <w:t xml:space="preserve">, direktor za zapadni Balkan iz Ministarstva vanjskih poslova Ujedinjenog kraljevstva, </w:t>
      </w:r>
      <w:proofErr w:type="spellStart"/>
      <w:r w:rsidRPr="00772D3B">
        <w:rPr>
          <w:bCs/>
          <w:lang w:eastAsia="bs-Latn-BA"/>
        </w:rPr>
        <w:t>Kathryne</w:t>
      </w:r>
      <w:proofErr w:type="spellEnd"/>
      <w:r w:rsidRPr="00772D3B">
        <w:rPr>
          <w:bCs/>
          <w:lang w:eastAsia="bs-Latn-BA"/>
        </w:rPr>
        <w:t xml:space="preserve"> </w:t>
      </w:r>
      <w:proofErr w:type="spellStart"/>
      <w:r w:rsidRPr="00772D3B">
        <w:rPr>
          <w:bCs/>
          <w:lang w:eastAsia="bs-Latn-BA"/>
        </w:rPr>
        <w:t>Bomberger</w:t>
      </w:r>
      <w:proofErr w:type="spellEnd"/>
      <w:r w:rsidRPr="00772D3B">
        <w:rPr>
          <w:bCs/>
          <w:lang w:eastAsia="bs-Latn-BA"/>
        </w:rPr>
        <w:t xml:space="preserve">, generalna direktorica Međunarodne komisije za nestale osobe (ICMP ), </w:t>
      </w:r>
      <w:proofErr w:type="spellStart"/>
      <w:r w:rsidRPr="00772D3B">
        <w:rPr>
          <w:bCs/>
          <w:lang w:eastAsia="bs-Latn-BA"/>
        </w:rPr>
        <w:t>Matthias</w:t>
      </w:r>
      <w:proofErr w:type="spellEnd"/>
      <w:r w:rsidRPr="00772D3B">
        <w:rPr>
          <w:bCs/>
          <w:lang w:eastAsia="bs-Latn-BA"/>
        </w:rPr>
        <w:t xml:space="preserve"> </w:t>
      </w:r>
      <w:proofErr w:type="spellStart"/>
      <w:r w:rsidRPr="00772D3B">
        <w:rPr>
          <w:bCs/>
          <w:lang w:eastAsia="bs-Latn-BA"/>
        </w:rPr>
        <w:t>Luttenberg</w:t>
      </w:r>
      <w:proofErr w:type="spellEnd"/>
      <w:r w:rsidRPr="00772D3B">
        <w:rPr>
          <w:bCs/>
          <w:lang w:eastAsia="bs-Latn-BA"/>
        </w:rPr>
        <w:t xml:space="preserve">, direktor Divizije 212 – bilateralni odnosi sa državama centralne, istočne i jugoistočne </w:t>
      </w:r>
      <w:proofErr w:type="spellStart"/>
      <w:r w:rsidRPr="00772D3B">
        <w:rPr>
          <w:bCs/>
          <w:lang w:eastAsia="bs-Latn-BA"/>
        </w:rPr>
        <w:t>Europe</w:t>
      </w:r>
      <w:proofErr w:type="spellEnd"/>
      <w:r w:rsidRPr="00772D3B">
        <w:rPr>
          <w:bCs/>
          <w:lang w:eastAsia="bs-Latn-BA"/>
        </w:rPr>
        <w:t xml:space="preserve">, centralne Azije i južnog Kavkaza (Ured njemačke </w:t>
      </w:r>
      <w:proofErr w:type="spellStart"/>
      <w:r w:rsidRPr="00772D3B">
        <w:rPr>
          <w:bCs/>
          <w:lang w:eastAsia="bs-Latn-BA"/>
        </w:rPr>
        <w:t>kancelarke</w:t>
      </w:r>
      <w:proofErr w:type="spellEnd"/>
      <w:r w:rsidRPr="00772D3B">
        <w:rPr>
          <w:bCs/>
          <w:lang w:eastAsia="bs-Latn-BA"/>
        </w:rPr>
        <w:t xml:space="preserve"> Angele Merkel ), Amor </w:t>
      </w:r>
      <w:proofErr w:type="spellStart"/>
      <w:r w:rsidRPr="00772D3B">
        <w:rPr>
          <w:bCs/>
          <w:lang w:eastAsia="bs-Latn-BA"/>
        </w:rPr>
        <w:t>Mašović</w:t>
      </w:r>
      <w:proofErr w:type="spellEnd"/>
      <w:r w:rsidRPr="00772D3B">
        <w:rPr>
          <w:bCs/>
          <w:lang w:eastAsia="bs-Latn-BA"/>
        </w:rPr>
        <w:t xml:space="preserve">, Institut za nestale osobe Bosne i Hercegovine, Ana </w:t>
      </w:r>
      <w:proofErr w:type="spellStart"/>
      <w:r w:rsidRPr="00772D3B">
        <w:rPr>
          <w:bCs/>
          <w:lang w:eastAsia="bs-Latn-BA"/>
        </w:rPr>
        <w:t>Filko</w:t>
      </w:r>
      <w:proofErr w:type="spellEnd"/>
      <w:r w:rsidRPr="00772D3B">
        <w:rPr>
          <w:bCs/>
          <w:lang w:eastAsia="bs-Latn-BA"/>
        </w:rPr>
        <w:t xml:space="preserve">, </w:t>
      </w:r>
      <w:proofErr w:type="spellStart"/>
      <w:r w:rsidRPr="00772D3B">
        <w:rPr>
          <w:bCs/>
          <w:lang w:eastAsia="bs-Latn-BA"/>
        </w:rPr>
        <w:t>Uprva</w:t>
      </w:r>
      <w:proofErr w:type="spellEnd"/>
      <w:r w:rsidRPr="00772D3B">
        <w:rPr>
          <w:bCs/>
          <w:lang w:eastAsia="bs-Latn-BA"/>
        </w:rPr>
        <w:t xml:space="preserve"> za zatočene i nestale Ministarstva hrvatskih branitelja Republike Hrvatske, Dragan Đukanović, Komisija za nestala lica Vlade Crne Gore, Rame </w:t>
      </w:r>
      <w:proofErr w:type="spellStart"/>
      <w:r w:rsidRPr="00772D3B">
        <w:rPr>
          <w:bCs/>
          <w:lang w:eastAsia="bs-Latn-BA"/>
        </w:rPr>
        <w:t>Manej</w:t>
      </w:r>
      <w:proofErr w:type="spellEnd"/>
      <w:r w:rsidRPr="00772D3B">
        <w:rPr>
          <w:bCs/>
          <w:lang w:eastAsia="bs-Latn-BA"/>
        </w:rPr>
        <w:t xml:space="preserve">, Komisija za nestala lica Kosova, Veljko </w:t>
      </w:r>
      <w:proofErr w:type="spellStart"/>
      <w:r w:rsidRPr="00772D3B">
        <w:rPr>
          <w:bCs/>
          <w:lang w:eastAsia="bs-Latn-BA"/>
        </w:rPr>
        <w:t>Odalović</w:t>
      </w:r>
      <w:proofErr w:type="spellEnd"/>
      <w:r w:rsidRPr="00772D3B">
        <w:rPr>
          <w:bCs/>
          <w:lang w:eastAsia="bs-Latn-BA"/>
        </w:rPr>
        <w:t xml:space="preserve">, Komisija za nestala lica Vlade Srbije. </w:t>
      </w:r>
      <w:r w:rsidRPr="00772D3B">
        <w:rPr>
          <w:lang w:eastAsia="bs-Latn-BA"/>
        </w:rPr>
        <w:t xml:space="preserve">Na sastanku je GNO između ostalog, predstavila svoj Drugi godišnji izvještaj, zatim akcentirala potrebu da se porodice nestalih aktivno uključe u proces traženja nestalih osoba i razmjene podataka  kroz rad Regionalne koordinacije udruženja porodica nestalih s područja bivše Jugoslavije (RK), te istakla posvećenost provedbi Okvirnog plana, kroz ulaganje  dodatnog napora kako bi savladali prepreke koje je sa sobom donijela </w:t>
      </w:r>
      <w:proofErr w:type="spellStart"/>
      <w:r w:rsidRPr="00772D3B">
        <w:rPr>
          <w:lang w:eastAsia="bs-Latn-BA"/>
        </w:rPr>
        <w:t>pandemija</w:t>
      </w:r>
      <w:proofErr w:type="spellEnd"/>
      <w:r w:rsidRPr="00772D3B">
        <w:rPr>
          <w:lang w:eastAsia="bs-Latn-BA"/>
        </w:rPr>
        <w:t xml:space="preserve"> bolesti Covid-19. </w:t>
      </w:r>
    </w:p>
    <w:p w14:paraId="4A82D76B" w14:textId="77777777" w:rsidR="004B4B25" w:rsidRPr="00772D3B" w:rsidRDefault="004B4B25" w:rsidP="004B4B25">
      <w:pPr>
        <w:spacing w:after="384"/>
        <w:jc w:val="both"/>
        <w:rPr>
          <w:lang w:eastAsia="bs-Latn-BA"/>
        </w:rPr>
      </w:pPr>
      <w:r w:rsidRPr="00772D3B">
        <w:rPr>
          <w:lang w:eastAsia="bs-Latn-BA"/>
        </w:rPr>
        <w:t>U 2020. godini Kolegij direktora nastavio je saradnju sa organizacijom Norveška narodna pomoć (NDA) u cilju osiguranja nabavke i treninga specijalnih pasa tragača za pronalazak masovnih i pojedinačnih grobnica. Kolegij direktora razmotrio je ponudu organizacije Norveška narodna pomoć upućenu uredu UNDP-</w:t>
      </w:r>
      <w:proofErr w:type="spellStart"/>
      <w:r w:rsidRPr="00772D3B">
        <w:rPr>
          <w:lang w:eastAsia="bs-Latn-BA"/>
        </w:rPr>
        <w:t>ija</w:t>
      </w:r>
      <w:proofErr w:type="spellEnd"/>
      <w:r w:rsidRPr="00772D3B">
        <w:rPr>
          <w:lang w:eastAsia="bs-Latn-BA"/>
        </w:rPr>
        <w:t xml:space="preserve"> u Beogradu u vezi sa nabavkom, treningom i angažiranjem specijalno obučenih pasa za traganje za masovnim i pojedinačnim grobnicama. Spomenuta organizacija ima saglasnost menadžmenta da razvije koncept projekta za pse tragače za traženje masovnih i drugih grobnica.</w:t>
      </w:r>
    </w:p>
    <w:p w14:paraId="188EF625" w14:textId="77777777" w:rsidR="004B4B25" w:rsidRPr="00772D3B" w:rsidRDefault="004B4B25" w:rsidP="004B4B25">
      <w:pPr>
        <w:spacing w:after="384"/>
        <w:jc w:val="both"/>
        <w:rPr>
          <w:lang w:eastAsia="bs-Latn-BA"/>
        </w:rPr>
      </w:pPr>
      <w:r w:rsidRPr="00772D3B">
        <w:rPr>
          <w:lang w:eastAsia="bs-Latn-BA"/>
        </w:rPr>
        <w:t>U suradnji sa UNDP-om, Kolegij direktora organizirao je seminar „Traganje za lokacijama grobnica i ekshumacija kao dokazna radnja“ u Tuzli u vremenu od 21.10. 2020. do 23.10.2020. godine. Seminar je podržala Vlada Ujedinjenog kraljevstva. Na seminaru su učestvovali predstavnici Instituta za nestale osobe Bosne i Hercegovine, Tužiteljstva Bosne i Hercegovine, Državne agencije za istrage i zaštitu i Međunarodnog rezidualnog mehanizma za krivične sudove (MRMKS ).</w:t>
      </w:r>
    </w:p>
    <w:p w14:paraId="3F85ADDA" w14:textId="77777777" w:rsidR="004B4B25" w:rsidRPr="00772D3B" w:rsidRDefault="004B4B25" w:rsidP="004B4B25">
      <w:pPr>
        <w:spacing w:after="384"/>
        <w:jc w:val="both"/>
        <w:rPr>
          <w:lang w:eastAsia="bs-Latn-BA"/>
        </w:rPr>
      </w:pPr>
      <w:r w:rsidRPr="00772D3B">
        <w:rPr>
          <w:lang w:eastAsia="bs-Latn-BA"/>
        </w:rPr>
        <w:t xml:space="preserve">U 2020. godini Kolegij direktora nastavio je intenzivnu i uspješnu suradnju sa Međunarodnim komitetom Crvenog križa (MKCK ). Organiziran je Anti-stres seminar na Jahorini. Zbog epidemiološke situacije Anti-stres seminar organiziran je u dvije grupe: Prva grupa prisustvovala je seminaru u razdoblju od 19.10. do 22.10.2020. godine, dok je druga grupa bila na seminaru od 27.10. do 30.10. 2020. godine.    </w:t>
      </w:r>
    </w:p>
    <w:p w14:paraId="066B57D2" w14:textId="77777777" w:rsidR="004B4B25" w:rsidRPr="00772D3B" w:rsidRDefault="004B4B25" w:rsidP="004B4B25">
      <w:pPr>
        <w:spacing w:after="384"/>
        <w:jc w:val="both"/>
        <w:rPr>
          <w:lang w:eastAsia="bs-Latn-BA"/>
        </w:rPr>
      </w:pPr>
      <w:r w:rsidRPr="00772D3B">
        <w:rPr>
          <w:lang w:eastAsia="bs-Latn-BA"/>
        </w:rPr>
        <w:t>Takođe</w:t>
      </w:r>
      <w:r w:rsidR="00F23587">
        <w:rPr>
          <w:lang w:eastAsia="bs-Latn-BA"/>
        </w:rPr>
        <w:t>r</w:t>
      </w:r>
      <w:r w:rsidRPr="00772D3B">
        <w:rPr>
          <w:lang w:eastAsia="bs-Latn-BA"/>
        </w:rPr>
        <w:t xml:space="preserve">, u suradnji sa Međunarodnim komitetom Crvenog križa Kolegij direktora organizirao je u Sarajevu, Ilidža, seminar na temu „Nove analitičke metode i tehnike </w:t>
      </w:r>
      <w:r w:rsidR="00772D3B" w:rsidRPr="00772D3B">
        <w:rPr>
          <w:lang w:eastAsia="bs-Latn-BA"/>
        </w:rPr>
        <w:t>-</w:t>
      </w:r>
      <w:r w:rsidRPr="00772D3B">
        <w:rPr>
          <w:lang w:eastAsia="bs-Latn-BA"/>
        </w:rPr>
        <w:t xml:space="preserve"> Trening za </w:t>
      </w:r>
      <w:proofErr w:type="spellStart"/>
      <w:r w:rsidRPr="00772D3B">
        <w:rPr>
          <w:lang w:eastAsia="bs-Latn-BA"/>
        </w:rPr>
        <w:t>istražitelje</w:t>
      </w:r>
      <w:proofErr w:type="spellEnd"/>
      <w:r w:rsidRPr="00772D3B">
        <w:rPr>
          <w:lang w:eastAsia="bs-Latn-BA"/>
        </w:rPr>
        <w:t xml:space="preserve"> Instituta za nestale osobe“. </w:t>
      </w:r>
      <w:proofErr w:type="spellStart"/>
      <w:r w:rsidRPr="00772D3B">
        <w:rPr>
          <w:lang w:eastAsia="bs-Latn-BA"/>
        </w:rPr>
        <w:t>Predavači</w:t>
      </w:r>
      <w:proofErr w:type="spellEnd"/>
      <w:r w:rsidRPr="00772D3B">
        <w:rPr>
          <w:lang w:eastAsia="bs-Latn-BA"/>
        </w:rPr>
        <w:t xml:space="preserve"> na seminaru bili su Christian </w:t>
      </w:r>
      <w:proofErr w:type="spellStart"/>
      <w:r w:rsidRPr="00772D3B">
        <w:rPr>
          <w:lang w:eastAsia="bs-Latn-BA"/>
        </w:rPr>
        <w:t>Axboe</w:t>
      </w:r>
      <w:proofErr w:type="spellEnd"/>
      <w:r w:rsidRPr="00772D3B">
        <w:rPr>
          <w:lang w:eastAsia="bs-Latn-BA"/>
        </w:rPr>
        <w:t xml:space="preserve"> </w:t>
      </w:r>
      <w:proofErr w:type="spellStart"/>
      <w:r w:rsidRPr="00772D3B">
        <w:rPr>
          <w:lang w:eastAsia="bs-Latn-BA"/>
        </w:rPr>
        <w:t>Nielsen</w:t>
      </w:r>
      <w:proofErr w:type="spellEnd"/>
      <w:r w:rsidRPr="00772D3B">
        <w:rPr>
          <w:lang w:eastAsia="bs-Latn-BA"/>
        </w:rPr>
        <w:t xml:space="preserve">, </w:t>
      </w:r>
      <w:proofErr w:type="spellStart"/>
      <w:r w:rsidRPr="00772D3B">
        <w:rPr>
          <w:lang w:eastAsia="bs-Latn-BA"/>
        </w:rPr>
        <w:t>Associate</w:t>
      </w:r>
      <w:proofErr w:type="spellEnd"/>
      <w:r w:rsidRPr="00772D3B">
        <w:rPr>
          <w:lang w:eastAsia="bs-Latn-BA"/>
        </w:rPr>
        <w:t xml:space="preserve"> </w:t>
      </w:r>
      <w:proofErr w:type="spellStart"/>
      <w:r w:rsidRPr="00772D3B">
        <w:rPr>
          <w:lang w:eastAsia="bs-Latn-BA"/>
        </w:rPr>
        <w:t>Professsor</w:t>
      </w:r>
      <w:proofErr w:type="spellEnd"/>
      <w:r w:rsidRPr="00772D3B">
        <w:rPr>
          <w:lang w:eastAsia="bs-Latn-BA"/>
        </w:rPr>
        <w:t xml:space="preserve">, </w:t>
      </w:r>
      <w:proofErr w:type="spellStart"/>
      <w:r w:rsidRPr="00772D3B">
        <w:rPr>
          <w:lang w:eastAsia="bs-Latn-BA"/>
        </w:rPr>
        <w:t>Aarhus</w:t>
      </w:r>
      <w:proofErr w:type="spellEnd"/>
      <w:r w:rsidRPr="00772D3B">
        <w:rPr>
          <w:lang w:eastAsia="bs-Latn-BA"/>
        </w:rPr>
        <w:t xml:space="preserve"> University i Miloš Đerić, Regionalni analitičar za odjel zaštite Međunarodnog komiteta Crvenog križa. U skladu sa epidemiološkim mjerama seminar je organiziran u dvije grupe u razdoblju od 07.12. do 09. 12. 2020. –prva grupa i 09.12. do 11.12.2020. – druga grupa.</w:t>
      </w:r>
    </w:p>
    <w:p w14:paraId="5F14BBAD" w14:textId="77777777" w:rsidR="004B4B25" w:rsidRPr="00772D3B" w:rsidRDefault="004B4B25" w:rsidP="004B4B25">
      <w:pPr>
        <w:spacing w:after="384"/>
        <w:jc w:val="both"/>
        <w:rPr>
          <w:lang w:eastAsia="bs-Latn-BA"/>
        </w:rPr>
      </w:pPr>
      <w:r w:rsidRPr="00772D3B">
        <w:rPr>
          <w:lang w:eastAsia="bs-Latn-BA"/>
        </w:rPr>
        <w:lastRenderedPageBreak/>
        <w:t xml:space="preserve">Članovi Kolegija direktora aktivno su učestvovali u online sastanku koji je organizirao Međunarodni komitet Crvenog križa 07.12.2020. godine na temu „Mehanizmi za nestale osobe: rasvjetljavanje sudbine i podrška porodicama“. Sastanku su prisustvovali gosp. </w:t>
      </w:r>
      <w:proofErr w:type="spellStart"/>
      <w:r w:rsidRPr="00772D3B">
        <w:rPr>
          <w:lang w:eastAsia="bs-Latn-BA"/>
        </w:rPr>
        <w:t>Fabien</w:t>
      </w:r>
      <w:proofErr w:type="spellEnd"/>
      <w:r w:rsidRPr="00772D3B">
        <w:rPr>
          <w:lang w:eastAsia="bs-Latn-BA"/>
        </w:rPr>
        <w:t xml:space="preserve"> </w:t>
      </w:r>
      <w:proofErr w:type="spellStart"/>
      <w:r w:rsidRPr="00772D3B">
        <w:rPr>
          <w:lang w:eastAsia="bs-Latn-BA"/>
        </w:rPr>
        <w:t>Bourdier</w:t>
      </w:r>
      <w:proofErr w:type="spellEnd"/>
      <w:r w:rsidRPr="00772D3B">
        <w:rPr>
          <w:lang w:eastAsia="bs-Latn-BA"/>
        </w:rPr>
        <w:t xml:space="preserve">, koordinator za pitanje nestalih osoba za zapadni Balkan u Ženevi i gđa. </w:t>
      </w:r>
      <w:proofErr w:type="spellStart"/>
      <w:r w:rsidRPr="00772D3B">
        <w:rPr>
          <w:lang w:eastAsia="bs-Latn-BA"/>
        </w:rPr>
        <w:t>Joy</w:t>
      </w:r>
      <w:proofErr w:type="spellEnd"/>
      <w:r w:rsidRPr="00772D3B">
        <w:rPr>
          <w:lang w:eastAsia="bs-Latn-BA"/>
        </w:rPr>
        <w:t xml:space="preserve"> </w:t>
      </w:r>
      <w:proofErr w:type="spellStart"/>
      <w:r w:rsidRPr="00772D3B">
        <w:rPr>
          <w:lang w:eastAsia="bs-Latn-BA"/>
        </w:rPr>
        <w:t>Elyahou</w:t>
      </w:r>
      <w:proofErr w:type="spellEnd"/>
      <w:r w:rsidRPr="00772D3B">
        <w:rPr>
          <w:lang w:eastAsia="bs-Latn-BA"/>
        </w:rPr>
        <w:t xml:space="preserve"> vanjska konzultantica Međunarodnog komiteta Crvenog križa iz Kanade.</w:t>
      </w:r>
    </w:p>
    <w:p w14:paraId="3970B204" w14:textId="77777777" w:rsidR="0011180F" w:rsidRDefault="0011180F" w:rsidP="003B52FA">
      <w:pPr>
        <w:jc w:val="both"/>
      </w:pPr>
      <w:r w:rsidRPr="002A0B02">
        <w:t>U 20</w:t>
      </w:r>
      <w:r w:rsidR="00CB1126">
        <w:t>20</w:t>
      </w:r>
      <w:r w:rsidR="00E84B3A" w:rsidRPr="002A0B02">
        <w:t>.</w:t>
      </w:r>
      <w:r w:rsidRPr="002A0B02">
        <w:t xml:space="preserve">godini Nadzorni odbor je </w:t>
      </w:r>
      <w:proofErr w:type="spellStart"/>
      <w:r w:rsidRPr="002A0B02">
        <w:t>održao</w:t>
      </w:r>
      <w:proofErr w:type="spellEnd"/>
      <w:r w:rsidRPr="002A0B02">
        <w:t xml:space="preserve"> </w:t>
      </w:r>
      <w:r w:rsidR="00772D3B">
        <w:t>18</w:t>
      </w:r>
      <w:r w:rsidR="002A0B02" w:rsidRPr="002A0B02">
        <w:t xml:space="preserve"> </w:t>
      </w:r>
      <w:r w:rsidRPr="002A0B02">
        <w:t xml:space="preserve">sjednica, na kojima je kroz </w:t>
      </w:r>
      <w:r w:rsidR="002A0B02" w:rsidRPr="002A0B02">
        <w:t>5</w:t>
      </w:r>
      <w:r w:rsidR="00772D3B">
        <w:t>6</w:t>
      </w:r>
      <w:r w:rsidRPr="002A0B02">
        <w:t xml:space="preserve"> tač</w:t>
      </w:r>
      <w:r w:rsidR="002A0B02" w:rsidRPr="002A0B02">
        <w:t>aka</w:t>
      </w:r>
      <w:r w:rsidRPr="002A0B02">
        <w:t xml:space="preserve"> dnevnog reda razmatrao pitanja iz svoje </w:t>
      </w:r>
      <w:proofErr w:type="spellStart"/>
      <w:r w:rsidRPr="002A0B02">
        <w:t>nadležnosti</w:t>
      </w:r>
      <w:proofErr w:type="spellEnd"/>
      <w:r w:rsidRPr="002A0B02">
        <w:t>: izvještaje o finansijskom poslovanju Instituta, godišnj</w:t>
      </w:r>
      <w:r w:rsidR="004357A5">
        <w:t>i</w:t>
      </w:r>
      <w:r w:rsidRPr="002A0B02">
        <w:t xml:space="preserve"> izvještaj o poslovanju i godišn</w:t>
      </w:r>
      <w:r w:rsidR="00131EF0">
        <w:t xml:space="preserve">ji </w:t>
      </w:r>
      <w:r w:rsidRPr="002A0B02">
        <w:t>obračun, urednost i zakonitost vođenja računovodstvenih knjiga kao i izvještavanje suosnivača, Upravnog odbora i Kolegija direktora o rezultatima nadzora.</w:t>
      </w:r>
      <w:r w:rsidR="00FA5393" w:rsidRPr="002A0B02">
        <w:t xml:space="preserve"> </w:t>
      </w:r>
    </w:p>
    <w:p w14:paraId="336A18F3" w14:textId="77777777" w:rsidR="00131EF0" w:rsidRPr="00FA409A" w:rsidRDefault="00131EF0" w:rsidP="00131EF0">
      <w:pPr>
        <w:ind w:right="-457"/>
        <w:jc w:val="both"/>
      </w:pPr>
    </w:p>
    <w:p w14:paraId="084BDF6C" w14:textId="77777777" w:rsidR="003B3918" w:rsidRDefault="003B3918" w:rsidP="003B3918">
      <w:pPr>
        <w:pStyle w:val="Heading3"/>
        <w:rPr>
          <w:rFonts w:ascii="Times New Roman" w:hAnsi="Times New Roman"/>
          <w:color w:val="auto"/>
          <w:sz w:val="24"/>
          <w:szCs w:val="24"/>
        </w:rPr>
      </w:pPr>
      <w:bookmarkStart w:id="0" w:name="_Toc445285938"/>
      <w:bookmarkStart w:id="1" w:name="_Toc315857348"/>
      <w:bookmarkStart w:id="2" w:name="_Toc445285942"/>
      <w:r>
        <w:rPr>
          <w:rFonts w:ascii="Times New Roman" w:hAnsi="Times New Roman"/>
          <w:color w:val="auto"/>
          <w:sz w:val="24"/>
          <w:szCs w:val="24"/>
        </w:rPr>
        <w:t>1.1. Prikupljanje informacija o nestalim osobama i pojedinačnim i masovnim grobnicama</w:t>
      </w:r>
      <w:bookmarkEnd w:id="0"/>
    </w:p>
    <w:p w14:paraId="61C6EE1A" w14:textId="77777777" w:rsidR="002D24A7" w:rsidRDefault="002D24A7" w:rsidP="002D24A7"/>
    <w:p w14:paraId="27A93A4E" w14:textId="77777777" w:rsidR="002D24A7" w:rsidRDefault="002D24A7" w:rsidP="00FD2E99">
      <w:pPr>
        <w:jc w:val="both"/>
      </w:pPr>
      <w:r>
        <w:t xml:space="preserve">Efikasnost rješavanja pitanja nestalih osoba u Bosni i Hercegovini u direktnoj je vezi sa provođenjem članova 4. i 5. Zakona o nestalim osobama, kojim se regulira obaveza nadležnih državnih organa i institucija svih nivoa vlasti, po pitanju njihovog mjesta i uloge u procesu prikupljanja informacija o lokacijama pojedinačnih i masovnih grobnica nestalih osoba, te njihovog ustupanja na dalje korištenje Institutu, odnosno nadležnom tužilaštvu, obzirom da su ekshumacije, obdukcije i identifikacije sudsko-medicinske istražne radnje. Na ovaj način država preko svojih institucija obezbjeđuje članovima obitelji nestalih osoba pravo da znaju za sudbinu svojih nestalih članova. Nakon dobivanja informacija o lokacijama grobnica nestalih osoba, </w:t>
      </w:r>
      <w:proofErr w:type="spellStart"/>
      <w:r>
        <w:t>istražitelji</w:t>
      </w:r>
      <w:proofErr w:type="spellEnd"/>
      <w:r>
        <w:t xml:space="preserve"> Instituta samostalno  ili u saradnji  sa drugim institucijama  angažiraju se na provjerama navedenih informacija. Ova radnja je od izuzetnog značaja zbog svoje složenosti sa više aspekata. </w:t>
      </w:r>
    </w:p>
    <w:p w14:paraId="222E9A87" w14:textId="77777777" w:rsidR="002D24A7" w:rsidRDefault="002D24A7" w:rsidP="002D24A7">
      <w:pPr>
        <w:jc w:val="both"/>
      </w:pPr>
    </w:p>
    <w:p w14:paraId="70EAFEDD" w14:textId="77777777" w:rsidR="002D24A7" w:rsidRDefault="002D24A7" w:rsidP="002D24A7">
      <w:pPr>
        <w:jc w:val="both"/>
      </w:pPr>
      <w:r>
        <w:t xml:space="preserve">Kroz analizu i rezultate rada Sektora za traženje, ekshumaciju i identifikaciju u 2020.godini može se </w:t>
      </w:r>
      <w:proofErr w:type="spellStart"/>
      <w:r>
        <w:t>zaključiti</w:t>
      </w:r>
      <w:proofErr w:type="spellEnd"/>
      <w:r>
        <w:t xml:space="preserve"> da su </w:t>
      </w:r>
      <w:proofErr w:type="spellStart"/>
      <w:r>
        <w:t>istražitelji</w:t>
      </w:r>
      <w:proofErr w:type="spellEnd"/>
      <w:r>
        <w:t xml:space="preserve"> Instituta iskazali veliki stepen posvećenosti, </w:t>
      </w:r>
      <w:proofErr w:type="spellStart"/>
      <w:r>
        <w:t>požrtvovanosti</w:t>
      </w:r>
      <w:proofErr w:type="spellEnd"/>
      <w:r>
        <w:t xml:space="preserve">, profesionalnosti i osobne hrabrosti, bez obzira na poteškoće sa kojima su se susretali u svom radu, kao što su: </w:t>
      </w:r>
    </w:p>
    <w:p w14:paraId="02404B9E" w14:textId="77777777" w:rsidR="002D24A7" w:rsidRDefault="00FD2E99" w:rsidP="002D24A7">
      <w:pPr>
        <w:pStyle w:val="ListParagraph"/>
        <w:numPr>
          <w:ilvl w:val="0"/>
          <w:numId w:val="24"/>
        </w:numPr>
        <w:jc w:val="both"/>
      </w:pPr>
      <w:r>
        <w:t>o</w:t>
      </w:r>
      <w:r w:rsidR="002D24A7">
        <w:t>težan</w:t>
      </w:r>
      <w:r>
        <w:t xml:space="preserve"> rad i smanjen obim poslova </w:t>
      </w:r>
      <w:r w:rsidR="002D24A7">
        <w:t xml:space="preserve"> zbog vir</w:t>
      </w:r>
      <w:r w:rsidR="00F23587">
        <w:t>u</w:t>
      </w:r>
      <w:r w:rsidR="002D24A7">
        <w:t xml:space="preserve">sa </w:t>
      </w:r>
      <w:r>
        <w:t>COVID 19,</w:t>
      </w:r>
      <w:r w:rsidR="002D24A7">
        <w:t xml:space="preserve"> </w:t>
      </w:r>
    </w:p>
    <w:p w14:paraId="77A18C17" w14:textId="77777777" w:rsidR="002D24A7" w:rsidRDefault="002D24A7" w:rsidP="002D24A7">
      <w:pPr>
        <w:pStyle w:val="ListParagraph"/>
        <w:numPr>
          <w:ilvl w:val="0"/>
          <w:numId w:val="24"/>
        </w:numPr>
        <w:jc w:val="both"/>
      </w:pPr>
      <w:r>
        <w:t>nedostatak relevantnih informacija o lokacijama masovnih i pojedinačnih grobnica,</w:t>
      </w:r>
    </w:p>
    <w:p w14:paraId="0B884832" w14:textId="77777777" w:rsidR="002D24A7" w:rsidRDefault="002D24A7" w:rsidP="002D24A7">
      <w:pPr>
        <w:pStyle w:val="ListParagraph"/>
        <w:numPr>
          <w:ilvl w:val="0"/>
          <w:numId w:val="24"/>
        </w:numPr>
        <w:jc w:val="both"/>
      </w:pPr>
      <w:r>
        <w:t>nedostatak kadrovskih i materijalno-tehničkih sredstava u cilju postizanja veće efikasnosti i rezultata rada u skladu sa preporukama Radne grupe Ujedinjenih nacija za prisilne nestanke,</w:t>
      </w:r>
    </w:p>
    <w:p w14:paraId="064657B2" w14:textId="77777777" w:rsidR="002D24A7" w:rsidRDefault="002D24A7" w:rsidP="002D24A7">
      <w:pPr>
        <w:pStyle w:val="ListParagraph"/>
        <w:numPr>
          <w:ilvl w:val="0"/>
          <w:numId w:val="24"/>
        </w:numPr>
        <w:jc w:val="both"/>
      </w:pPr>
      <w:r>
        <w:t xml:space="preserve">težak i nepristupačan teren, opasnost od neeksplodiranih minsko-eksplozivnih sredstava, rad u jamama, na </w:t>
      </w:r>
      <w:proofErr w:type="spellStart"/>
      <w:r>
        <w:t>smetljištima</w:t>
      </w:r>
      <w:proofErr w:type="spellEnd"/>
      <w:r>
        <w:t>, na kontaminiranim terenima</w:t>
      </w:r>
      <w:r w:rsidR="00FD2E99">
        <w:t xml:space="preserve"> i dr.</w:t>
      </w:r>
      <w:r>
        <w:t>.</w:t>
      </w:r>
    </w:p>
    <w:p w14:paraId="539EFD9D" w14:textId="77777777" w:rsidR="002D24A7" w:rsidRDefault="002D24A7" w:rsidP="002D24A7">
      <w:pPr>
        <w:pStyle w:val="Heading3"/>
        <w:rPr>
          <w:rFonts w:ascii="Times New Roman" w:hAnsi="Times New Roman"/>
          <w:color w:val="auto"/>
          <w:sz w:val="24"/>
          <w:szCs w:val="24"/>
        </w:rPr>
      </w:pPr>
      <w:bookmarkStart w:id="3" w:name="_Toc445285939"/>
      <w:r>
        <w:rPr>
          <w:rFonts w:ascii="Times New Roman" w:hAnsi="Times New Roman"/>
          <w:color w:val="auto"/>
          <w:sz w:val="24"/>
          <w:szCs w:val="24"/>
        </w:rPr>
        <w:t xml:space="preserve">1.2. Sudjelovanje u ekshumacijama i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asanacijama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terena</w:t>
      </w:r>
      <w:bookmarkEnd w:id="3"/>
    </w:p>
    <w:p w14:paraId="1574417C" w14:textId="77777777" w:rsidR="002D24A7" w:rsidRDefault="002D24A7" w:rsidP="002D24A7">
      <w:pPr>
        <w:jc w:val="both"/>
      </w:pPr>
    </w:p>
    <w:p w14:paraId="2800F688" w14:textId="77777777" w:rsidR="002D24A7" w:rsidRDefault="002D24A7" w:rsidP="002D24A7">
      <w:pPr>
        <w:jc w:val="both"/>
      </w:pPr>
      <w:r>
        <w:t xml:space="preserve">Ekshumacije i </w:t>
      </w:r>
      <w:proofErr w:type="spellStart"/>
      <w:r>
        <w:t>asanacije</w:t>
      </w:r>
      <w:proofErr w:type="spellEnd"/>
      <w:r>
        <w:t xml:space="preserve"> su sudsko-istražne radnje koje provodi nadležno tužilaštvo po naredbi Suda Bosne i Hercegovine. Institut pokreće prijedloge za ove radnje Tužilaštvu Bosne i Hercegovine, a nakon dobivanja naredbe za ekshumaciju, </w:t>
      </w:r>
      <w:proofErr w:type="spellStart"/>
      <w:r>
        <w:t>istražitelji</w:t>
      </w:r>
      <w:proofErr w:type="spellEnd"/>
      <w:r>
        <w:t xml:space="preserve"> Instituta učestvuju u radu ekspertnog tima za ekshumacije kojeg naredbom formira nadležni tužilac (</w:t>
      </w:r>
      <w:proofErr w:type="spellStart"/>
      <w:r>
        <w:t>krim</w:t>
      </w:r>
      <w:proofErr w:type="spellEnd"/>
      <w:r>
        <w:t xml:space="preserve">-inspektor, </w:t>
      </w:r>
      <w:proofErr w:type="spellStart"/>
      <w:r>
        <w:t>krim</w:t>
      </w:r>
      <w:proofErr w:type="spellEnd"/>
      <w:r>
        <w:t xml:space="preserve">-tehničar, vještak sudske medicine, antropolog, arheolog, </w:t>
      </w:r>
      <w:proofErr w:type="spellStart"/>
      <w:r>
        <w:t>deminer</w:t>
      </w:r>
      <w:proofErr w:type="spellEnd"/>
      <w:r>
        <w:t xml:space="preserve"> i po potrebi vještaci druge specijalnosti).</w:t>
      </w:r>
    </w:p>
    <w:p w14:paraId="47FE99FF" w14:textId="77777777" w:rsidR="002D24A7" w:rsidRDefault="002D24A7" w:rsidP="002D24A7">
      <w:pPr>
        <w:jc w:val="both"/>
      </w:pPr>
      <w:r>
        <w:lastRenderedPageBreak/>
        <w:t xml:space="preserve">U Tabeli broj 1. prikazani su zbirni rezultati svih područnih ureda kroz cjelokupan proces traženja, ekshumacija i identifikacija, odnosno od provjere informacija na terenu, pa do zatvaranja konkretnog slučaja tj. identifikacije. U 2020.godini  izvršeno je 88 ekshumacija, 8 </w:t>
      </w:r>
      <w:proofErr w:type="spellStart"/>
      <w:r>
        <w:t>asanacija</w:t>
      </w:r>
      <w:proofErr w:type="spellEnd"/>
      <w:r>
        <w:t xml:space="preserve"> i 4 ekshumacija radi uzimanja koštanih uzoraka. Ekshumirano je 73 posmrtnih slučajeva.</w:t>
      </w:r>
    </w:p>
    <w:p w14:paraId="0D669645" w14:textId="77777777" w:rsidR="002D24A7" w:rsidRDefault="002D24A7" w:rsidP="002D24A7">
      <w:pPr>
        <w:jc w:val="both"/>
      </w:pPr>
    </w:p>
    <w:tbl>
      <w:tblPr>
        <w:tblW w:w="14460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671"/>
        <w:gridCol w:w="1276"/>
        <w:gridCol w:w="1276"/>
        <w:gridCol w:w="1417"/>
        <w:gridCol w:w="1701"/>
        <w:gridCol w:w="1560"/>
        <w:gridCol w:w="1559"/>
      </w:tblGrid>
      <w:tr w:rsidR="002D24A7" w14:paraId="613DF73B" w14:textId="77777777" w:rsidTr="006B5FE0">
        <w:trPr>
          <w:trHeight w:val="477"/>
        </w:trPr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339F853F" w14:textId="77777777" w:rsidR="002D24A7" w:rsidRDefault="002D24A7" w:rsidP="006B5FE0">
            <w:pPr>
              <w:tabs>
                <w:tab w:val="left" w:pos="213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PODRUČNI UREDI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9C793DD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BANJA LUKA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8802DD2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BIHAĆ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86AB56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ISTOČNO SARAJEVO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30BDB0F2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MOSTAR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839F1E0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TUZLA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20126E5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</w:tr>
      <w:tr w:rsidR="002D24A7" w14:paraId="2681E783" w14:textId="77777777" w:rsidTr="006B5FE0">
        <w:trPr>
          <w:trHeight w:val="243"/>
        </w:trPr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1427CAF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Ukupan broj </w:t>
            </w:r>
            <w:proofErr w:type="spellStart"/>
            <w:r>
              <w:rPr>
                <w:bCs/>
                <w:sz w:val="22"/>
                <w:szCs w:val="22"/>
              </w:rPr>
              <w:t>predvizita</w:t>
            </w:r>
            <w:proofErr w:type="spellEnd"/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EB60EC8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961D3E3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390AA560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8771BBB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3C6FB631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4AD46CD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938</w:t>
            </w:r>
          </w:p>
        </w:tc>
      </w:tr>
      <w:tr w:rsidR="002D24A7" w14:paraId="1009C18D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09B598A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Ukupan broj zahtjeva za provjeru minske situacije na konkretnoj lokaciji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2C6F1E1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53A0A0C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EA048DF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6187D09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4819D02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B712E4C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3</w:t>
            </w:r>
          </w:p>
        </w:tc>
      </w:tr>
      <w:tr w:rsidR="002D24A7" w14:paraId="48E58734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152EA9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Ukupan broj izlazaka na teren sa predstavnicima</w:t>
            </w:r>
          </w:p>
          <w:p w14:paraId="44FE1DFC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Mak-a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3D12DCD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AD708D5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67ABAC7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3D5C579C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A99C40E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8031266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16</w:t>
            </w:r>
          </w:p>
        </w:tc>
      </w:tr>
      <w:tr w:rsidR="002D24A7" w14:paraId="12605BB6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880BFEA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Ukupan broj </w:t>
            </w:r>
            <w:proofErr w:type="spellStart"/>
            <w:r>
              <w:rPr>
                <w:bCs/>
                <w:sz w:val="22"/>
                <w:szCs w:val="22"/>
              </w:rPr>
              <w:t>poslatih</w:t>
            </w:r>
            <w:proofErr w:type="spellEnd"/>
            <w:r>
              <w:rPr>
                <w:bCs/>
                <w:sz w:val="22"/>
                <w:szCs w:val="22"/>
              </w:rPr>
              <w:t xml:space="preserve"> zahtjeva za ekshumacije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E4F4EAB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389EE1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D7F6E21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CB09B03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E37B6AD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A67FCF7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64</w:t>
            </w:r>
          </w:p>
        </w:tc>
      </w:tr>
      <w:tr w:rsidR="002D24A7" w14:paraId="22F8E90E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5AB0FA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Ukupan broj zahtjeva za </w:t>
            </w:r>
            <w:proofErr w:type="spellStart"/>
            <w:r>
              <w:rPr>
                <w:bCs/>
                <w:sz w:val="22"/>
                <w:szCs w:val="22"/>
              </w:rPr>
              <w:t>asanacije</w:t>
            </w:r>
            <w:proofErr w:type="spellEnd"/>
            <w:r>
              <w:rPr>
                <w:bCs/>
                <w:sz w:val="22"/>
                <w:szCs w:val="22"/>
              </w:rPr>
              <w:t xml:space="preserve"> terena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E83B4BB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DB965F0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C8899A1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F7A8FA1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BE4DAAC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8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5A5C163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10</w:t>
            </w:r>
          </w:p>
        </w:tc>
      </w:tr>
      <w:tr w:rsidR="002D24A7" w14:paraId="5FBDCBC2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2117BC1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Ukupan broj </w:t>
            </w:r>
            <w:proofErr w:type="spellStart"/>
            <w:r>
              <w:rPr>
                <w:bCs/>
                <w:sz w:val="22"/>
                <w:szCs w:val="22"/>
              </w:rPr>
              <w:t>poslatih</w:t>
            </w:r>
            <w:proofErr w:type="spellEnd"/>
            <w:r>
              <w:rPr>
                <w:bCs/>
                <w:sz w:val="22"/>
                <w:szCs w:val="22"/>
              </w:rPr>
              <w:t xml:space="preserve"> zahtjeva za uzimanje koštanih uzoraka (groblja/mezarja)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33C56166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36364811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B778EFD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4B55F72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D1B6299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EA23450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9</w:t>
            </w:r>
          </w:p>
        </w:tc>
      </w:tr>
      <w:tr w:rsidR="002D24A7" w14:paraId="1DA607BC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F3EC47F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Ukupan broj </w:t>
            </w:r>
            <w:proofErr w:type="spellStart"/>
            <w:r>
              <w:rPr>
                <w:bCs/>
                <w:sz w:val="22"/>
                <w:szCs w:val="22"/>
              </w:rPr>
              <w:t>poslatih</w:t>
            </w:r>
            <w:proofErr w:type="spellEnd"/>
            <w:r>
              <w:rPr>
                <w:bCs/>
                <w:sz w:val="22"/>
                <w:szCs w:val="22"/>
              </w:rPr>
              <w:t xml:space="preserve"> zahtjeva za </w:t>
            </w:r>
            <w:proofErr w:type="spellStart"/>
            <w:r>
              <w:rPr>
                <w:bCs/>
                <w:sz w:val="22"/>
                <w:szCs w:val="22"/>
              </w:rPr>
              <w:t>reekshumacije</w:t>
            </w:r>
            <w:proofErr w:type="spellEnd"/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604E8A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355DD7BC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C2A2062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7294EAF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6BC4572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FC11742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11</w:t>
            </w:r>
          </w:p>
        </w:tc>
      </w:tr>
      <w:tr w:rsidR="002D24A7" w14:paraId="78A95E29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5837916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Ukupan broj </w:t>
            </w:r>
            <w:proofErr w:type="spellStart"/>
            <w:r>
              <w:rPr>
                <w:bCs/>
                <w:sz w:val="22"/>
                <w:szCs w:val="22"/>
              </w:rPr>
              <w:t>urađenih</w:t>
            </w:r>
            <w:proofErr w:type="spellEnd"/>
            <w:r>
              <w:rPr>
                <w:bCs/>
                <w:sz w:val="22"/>
                <w:szCs w:val="22"/>
              </w:rPr>
              <w:t xml:space="preserve"> ekshumacija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FC906E7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E1A9173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C4AD832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3E54D3E6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752014F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0091CFA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88</w:t>
            </w:r>
          </w:p>
        </w:tc>
      </w:tr>
      <w:tr w:rsidR="002D24A7" w14:paraId="5FB8A721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48E45B5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Ukupan broj </w:t>
            </w:r>
            <w:proofErr w:type="spellStart"/>
            <w:r>
              <w:rPr>
                <w:bCs/>
                <w:sz w:val="22"/>
                <w:szCs w:val="22"/>
              </w:rPr>
              <w:t>urađenih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asanacija</w:t>
            </w:r>
            <w:proofErr w:type="spellEnd"/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3114E6C7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9E638B6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01A5E7B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EA76FA5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872FA6A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DFD7685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8</w:t>
            </w:r>
          </w:p>
        </w:tc>
      </w:tr>
      <w:tr w:rsidR="002D24A7" w14:paraId="4807D77D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9F07C86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Ukupan broj </w:t>
            </w:r>
            <w:proofErr w:type="spellStart"/>
            <w:r>
              <w:rPr>
                <w:bCs/>
                <w:sz w:val="22"/>
                <w:szCs w:val="22"/>
              </w:rPr>
              <w:t>urađenih</w:t>
            </w:r>
            <w:proofErr w:type="spellEnd"/>
            <w:r>
              <w:rPr>
                <w:bCs/>
                <w:sz w:val="22"/>
                <w:szCs w:val="22"/>
              </w:rPr>
              <w:t xml:space="preserve"> ekshumacija radi uzimanja koštanih uzoraka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9E5EADC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46FCD0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018FD28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9B48DD2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EB18428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B27FC52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4</w:t>
            </w:r>
          </w:p>
        </w:tc>
      </w:tr>
      <w:tr w:rsidR="002D24A7" w14:paraId="41F2CFDC" w14:textId="77777777" w:rsidTr="006B5FE0">
        <w:trPr>
          <w:trHeight w:val="191"/>
        </w:trPr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FE2C06E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Ukupan broj </w:t>
            </w:r>
            <w:proofErr w:type="spellStart"/>
            <w:r>
              <w:rPr>
                <w:bCs/>
                <w:sz w:val="22"/>
                <w:szCs w:val="22"/>
              </w:rPr>
              <w:t>urađenih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reekshumacija</w:t>
            </w:r>
            <w:proofErr w:type="spellEnd"/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8FD3CFC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61987A8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C76186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9927E6F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409347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135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02E0E99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156</w:t>
            </w:r>
          </w:p>
        </w:tc>
      </w:tr>
      <w:tr w:rsidR="002D24A7" w14:paraId="2AEAEAC0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B1D0151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Ukupan broj ekshumiranih posmrtnih ostataka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</w:tcPr>
          <w:p w14:paraId="42C84476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</w:tcPr>
          <w:p w14:paraId="17F73A03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2794216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</w:tcPr>
          <w:p w14:paraId="00E8F3ED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</w:tcPr>
          <w:p w14:paraId="03E28BD8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51B7F2F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73</w:t>
            </w:r>
          </w:p>
        </w:tc>
      </w:tr>
      <w:tr w:rsidR="002D24A7" w14:paraId="7865B103" w14:textId="77777777" w:rsidTr="006B5FE0">
        <w:trPr>
          <w:trHeight w:val="169"/>
        </w:trPr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13C880B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Ukupan broj uzetih koštanih uzoraka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A3BBBA0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099DAB7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9688667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9F91B25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49352B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2D88B52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97</w:t>
            </w:r>
          </w:p>
        </w:tc>
      </w:tr>
      <w:tr w:rsidR="002D24A7" w14:paraId="32A456BD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044B367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Ukupan broj riješenih slučajeva pogrešnih identifikacija „klasičnom metodom“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6A3653D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56FA18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693FBF3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6357F8E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D6B422D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6D69F26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5</w:t>
            </w:r>
          </w:p>
        </w:tc>
      </w:tr>
      <w:tr w:rsidR="002D24A7" w14:paraId="5FD63824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5A053A5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Ukupan broj identificiranih osoba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2B5C99E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30482B9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F17C241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D8429A7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23ED730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FD23F61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242</w:t>
            </w:r>
          </w:p>
        </w:tc>
      </w:tr>
      <w:tr w:rsidR="002D24A7" w14:paraId="1462C09C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383496FE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Ukupan broj dobivenih informacija od drugih institucija (SIPA,MUP,OBA, OT), 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49166EA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925F446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019166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D7CE8ED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C008379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AC0755A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45</w:t>
            </w:r>
          </w:p>
        </w:tc>
      </w:tr>
      <w:tr w:rsidR="002D24A7" w14:paraId="19E7EA31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B83DC0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Ukupan broj postupanja prema informacijama gore navedenih institucija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C9C59E5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5319B3B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B1CF5C9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10DE136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C85892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9EB1095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36</w:t>
            </w:r>
          </w:p>
        </w:tc>
      </w:tr>
      <w:tr w:rsidR="002D24A7" w14:paraId="730C05AB" w14:textId="77777777" w:rsidTr="006B5FE0">
        <w:tc>
          <w:tcPr>
            <w:tcW w:w="56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711006E8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Ukupan broj ekshumiranih osoba/slučajeva na osnovu informacija gore navedenih institucija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EE5D976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2D43BFE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30E349F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3059E31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9927CE4" w14:textId="77777777" w:rsidR="002D24A7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3CE0E6B" w14:textId="77777777" w:rsidR="002D24A7" w:rsidRPr="001B4733" w:rsidRDefault="002D24A7" w:rsidP="006B5FE0">
            <w:pPr>
              <w:tabs>
                <w:tab w:val="center" w:pos="453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1B4733">
              <w:rPr>
                <w:b/>
                <w:sz w:val="22"/>
                <w:szCs w:val="22"/>
              </w:rPr>
              <w:t>3</w:t>
            </w:r>
          </w:p>
        </w:tc>
      </w:tr>
    </w:tbl>
    <w:p w14:paraId="2F42796B" w14:textId="77777777" w:rsidR="002D24A7" w:rsidRDefault="002D24A7" w:rsidP="002D24A7">
      <w:pPr>
        <w:rPr>
          <w:sz w:val="18"/>
          <w:szCs w:val="18"/>
        </w:rPr>
      </w:pPr>
      <w:r>
        <w:rPr>
          <w:sz w:val="18"/>
          <w:szCs w:val="18"/>
        </w:rPr>
        <w:t>Tabela br.1  Zbirni rezultati kroz procese traženja, ekshumacija i identifikacija u 2020.godini</w:t>
      </w:r>
    </w:p>
    <w:p w14:paraId="2438C0EF" w14:textId="77777777" w:rsidR="002D24A7" w:rsidRDefault="002D24A7" w:rsidP="002D24A7"/>
    <w:p w14:paraId="304E5A1B" w14:textId="77777777" w:rsidR="002D24A7" w:rsidRDefault="002D24A7" w:rsidP="002D24A7">
      <w:pPr>
        <w:pStyle w:val="Heading3"/>
        <w:rPr>
          <w:rFonts w:ascii="Times New Roman" w:hAnsi="Times New Roman"/>
          <w:color w:val="auto"/>
          <w:sz w:val="24"/>
          <w:szCs w:val="24"/>
        </w:rPr>
      </w:pPr>
      <w:bookmarkStart w:id="4" w:name="_Toc445285940"/>
      <w:r>
        <w:rPr>
          <w:rFonts w:ascii="Times New Roman" w:hAnsi="Times New Roman"/>
          <w:color w:val="auto"/>
          <w:sz w:val="24"/>
          <w:szCs w:val="24"/>
        </w:rPr>
        <w:lastRenderedPageBreak/>
        <w:t>1.3. Sudjelovanje u identifikacijama</w:t>
      </w:r>
      <w:bookmarkEnd w:id="4"/>
    </w:p>
    <w:p w14:paraId="48E38A03" w14:textId="77777777" w:rsidR="002D24A7" w:rsidRDefault="002D24A7" w:rsidP="002D24A7"/>
    <w:p w14:paraId="5C326483" w14:textId="77777777" w:rsidR="002D24A7" w:rsidRDefault="002D24A7" w:rsidP="002D24A7">
      <w:pPr>
        <w:jc w:val="both"/>
      </w:pPr>
      <w:r>
        <w:t xml:space="preserve">Ekshumirana tijela se privremeno pohranjuju, prema naredbama Tužilaštva Bosne i Hercegovine, u obdukciono-identifikacione centre. Nadležni </w:t>
      </w:r>
      <w:proofErr w:type="spellStart"/>
      <w:r>
        <w:t>istražitelj</w:t>
      </w:r>
      <w:proofErr w:type="spellEnd"/>
      <w:r>
        <w:t xml:space="preserve"> Instituta učestvuje u aktivnostima tužioca, kriminalističkih tehničara i vještaka sudske medicine, od momenta uzimanja koštanih uzoraka sa ekshumiranog tijela i upućivanja istog na DNK analizu u laboratoriju ICMP, do samog završnog čina identifikacije. Nakon pristizanja DNK izvještaja u Institut, isti se prosljeđuje nadležnom tužilaštvu i vještaku sudske medicine. Tužilac naređuje i zakazuje identifikaciju. Na identifikaciju se pozivaju i članovi obitelji nestalih osoba. U toku 2020.godine, po navedenoj proceduri i pristiglim izvještajima, identificirano </w:t>
      </w:r>
      <w:r w:rsidR="00FD2E99">
        <w:t xml:space="preserve">su </w:t>
      </w:r>
      <w:r>
        <w:t xml:space="preserve"> ukupno 53 nestal</w:t>
      </w:r>
      <w:r w:rsidR="00FD2E99">
        <w:t>e</w:t>
      </w:r>
      <w:r>
        <w:t xml:space="preserve"> osob</w:t>
      </w:r>
      <w:r w:rsidR="00FD2E99">
        <w:t>e</w:t>
      </w:r>
      <w:r>
        <w:t xml:space="preserve">, čiji su posmrtni ostaci ekshumirani 2020. godine ili ranije. </w:t>
      </w:r>
    </w:p>
    <w:p w14:paraId="1446E41D" w14:textId="77777777" w:rsidR="002D24A7" w:rsidRDefault="002D24A7" w:rsidP="002D24A7">
      <w:pPr>
        <w:pStyle w:val="Heading3"/>
        <w:rPr>
          <w:rFonts w:ascii="Times New Roman" w:hAnsi="Times New Roman"/>
          <w:color w:val="auto"/>
          <w:sz w:val="24"/>
          <w:szCs w:val="24"/>
        </w:rPr>
      </w:pPr>
      <w:bookmarkStart w:id="5" w:name="_Toc445285941"/>
      <w:r>
        <w:rPr>
          <w:rFonts w:ascii="Times New Roman" w:hAnsi="Times New Roman"/>
          <w:color w:val="auto"/>
          <w:sz w:val="24"/>
          <w:szCs w:val="24"/>
        </w:rPr>
        <w:t>1.4. Čuvanje posmrtnih ostataka do njihove konačne predaje obiteljima ili ukopa</w:t>
      </w:r>
      <w:bookmarkEnd w:id="5"/>
    </w:p>
    <w:p w14:paraId="7EA9DCEF" w14:textId="77777777" w:rsidR="002D24A7" w:rsidRDefault="002D24A7" w:rsidP="002D24A7"/>
    <w:p w14:paraId="558DCA10" w14:textId="77777777" w:rsidR="002D24A7" w:rsidRDefault="002D24A7" w:rsidP="002D24A7">
      <w:pPr>
        <w:jc w:val="both"/>
      </w:pPr>
      <w:r>
        <w:t xml:space="preserve">Ekshumirani  posmrtni ostaci se čuvaju na 12 lokacija u Bosni i Hercegovini i to: u Banja Luci dvije lokacije (Gradsko groblje Banja Luka i Spomen –kosturnica Vrbanja Banja Luka), te u Goraždu, Istočnom Sarajevu, Mostaru, Nevesinju, Odžaku, Sanskom Mostu, Tuzli, </w:t>
      </w:r>
      <w:proofErr w:type="spellStart"/>
      <w:r>
        <w:t>Prahuljama</w:t>
      </w:r>
      <w:proofErr w:type="spellEnd"/>
      <w:r>
        <w:t xml:space="preserve">, Visokom i Modriči. </w:t>
      </w:r>
    </w:p>
    <w:p w14:paraId="3B8DB0CA" w14:textId="77777777" w:rsidR="00A04EAC" w:rsidRPr="006A35E3" w:rsidRDefault="0011180F" w:rsidP="006A35E3">
      <w:pPr>
        <w:pStyle w:val="Heading3"/>
        <w:rPr>
          <w:rFonts w:ascii="Times New Roman" w:hAnsi="Times New Roman"/>
          <w:color w:val="auto"/>
          <w:sz w:val="24"/>
          <w:szCs w:val="24"/>
        </w:rPr>
      </w:pPr>
      <w:r w:rsidRPr="00277751">
        <w:rPr>
          <w:rFonts w:ascii="Times New Roman" w:hAnsi="Times New Roman"/>
          <w:color w:val="auto"/>
          <w:sz w:val="24"/>
          <w:szCs w:val="24"/>
        </w:rPr>
        <w:t>1.5.</w:t>
      </w:r>
      <w:bookmarkStart w:id="6" w:name="_Toc315857349"/>
      <w:bookmarkStart w:id="7" w:name="_Toc445285944"/>
      <w:bookmarkEnd w:id="1"/>
      <w:bookmarkEnd w:id="2"/>
      <w:r w:rsidR="00A04EAC" w:rsidRPr="00277751">
        <w:rPr>
          <w:rFonts w:ascii="Times New Roman" w:hAnsi="Times New Roman"/>
          <w:color w:val="auto"/>
          <w:sz w:val="24"/>
          <w:szCs w:val="24"/>
        </w:rPr>
        <w:t xml:space="preserve"> Centralna evidencija nestalih osoba Bosne i Hercegovine</w:t>
      </w:r>
    </w:p>
    <w:p w14:paraId="45C3FB37" w14:textId="77777777" w:rsidR="00123479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A8951EA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3B">
        <w:rPr>
          <w:rFonts w:ascii="Times New Roman" w:hAnsi="Times New Roman"/>
          <w:sz w:val="24"/>
          <w:szCs w:val="24"/>
        </w:rPr>
        <w:t xml:space="preserve">Komisija za verifikaciju </w:t>
      </w:r>
      <w:r w:rsidR="00AF330F">
        <w:rPr>
          <w:rFonts w:ascii="Times New Roman" w:hAnsi="Times New Roman"/>
          <w:sz w:val="24"/>
          <w:szCs w:val="24"/>
        </w:rPr>
        <w:t xml:space="preserve">iz Centralne evidencije nestalih Bosne i Hercegovine </w:t>
      </w:r>
      <w:r w:rsidRPr="00772D3B">
        <w:rPr>
          <w:rFonts w:ascii="Times New Roman" w:hAnsi="Times New Roman"/>
          <w:sz w:val="24"/>
          <w:szCs w:val="24"/>
        </w:rPr>
        <w:t xml:space="preserve">je tokom protekle godine nastavila s procesom verifikacije nestalih osoba </w:t>
      </w:r>
      <w:r w:rsidR="00772D3B">
        <w:rPr>
          <w:rFonts w:ascii="Times New Roman" w:hAnsi="Times New Roman"/>
          <w:sz w:val="24"/>
          <w:szCs w:val="24"/>
        </w:rPr>
        <w:t>te je u</w:t>
      </w:r>
      <w:r w:rsidRPr="00772D3B">
        <w:rPr>
          <w:rFonts w:ascii="Times New Roman" w:hAnsi="Times New Roman"/>
          <w:sz w:val="24"/>
          <w:szCs w:val="24"/>
        </w:rPr>
        <w:t xml:space="preserve"> 2020. godini </w:t>
      </w:r>
      <w:proofErr w:type="spellStart"/>
      <w:r w:rsidRPr="00772D3B">
        <w:rPr>
          <w:rFonts w:ascii="Times New Roman" w:hAnsi="Times New Roman"/>
          <w:sz w:val="24"/>
          <w:szCs w:val="24"/>
        </w:rPr>
        <w:t>održa</w:t>
      </w:r>
      <w:r w:rsidR="00772D3B">
        <w:rPr>
          <w:rFonts w:ascii="Times New Roman" w:hAnsi="Times New Roman"/>
          <w:sz w:val="24"/>
          <w:szCs w:val="24"/>
        </w:rPr>
        <w:t>la</w:t>
      </w:r>
      <w:proofErr w:type="spellEnd"/>
      <w:r w:rsidRPr="00772D3B">
        <w:rPr>
          <w:rFonts w:ascii="Times New Roman" w:hAnsi="Times New Roman"/>
          <w:sz w:val="24"/>
          <w:szCs w:val="24"/>
        </w:rPr>
        <w:t xml:space="preserve"> 10 sjednica i verificira</w:t>
      </w:r>
      <w:r w:rsidR="00772D3B">
        <w:rPr>
          <w:rFonts w:ascii="Times New Roman" w:hAnsi="Times New Roman"/>
          <w:sz w:val="24"/>
          <w:szCs w:val="24"/>
        </w:rPr>
        <w:t>la</w:t>
      </w:r>
      <w:r w:rsidRPr="00772D3B">
        <w:rPr>
          <w:rFonts w:ascii="Times New Roman" w:hAnsi="Times New Roman"/>
          <w:sz w:val="24"/>
          <w:szCs w:val="24"/>
        </w:rPr>
        <w:t xml:space="preserve"> 1000 prijava</w:t>
      </w:r>
      <w:r w:rsidR="00772D3B">
        <w:rPr>
          <w:rFonts w:ascii="Times New Roman" w:hAnsi="Times New Roman"/>
          <w:sz w:val="24"/>
          <w:szCs w:val="24"/>
        </w:rPr>
        <w:t>.</w:t>
      </w:r>
      <w:r w:rsidRPr="00772D3B">
        <w:rPr>
          <w:rFonts w:ascii="Times New Roman" w:hAnsi="Times New Roman"/>
          <w:sz w:val="24"/>
          <w:szCs w:val="24"/>
        </w:rPr>
        <w:t xml:space="preserve"> Ukupno</w:t>
      </w:r>
      <w:r w:rsidR="00772D3B">
        <w:rPr>
          <w:rFonts w:ascii="Times New Roman" w:hAnsi="Times New Roman"/>
          <w:sz w:val="24"/>
          <w:szCs w:val="24"/>
        </w:rPr>
        <w:t>,</w:t>
      </w:r>
      <w:r w:rsidRPr="00772D3B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772D3B">
        <w:rPr>
          <w:rFonts w:ascii="Times New Roman" w:hAnsi="Times New Roman"/>
          <w:sz w:val="24"/>
          <w:szCs w:val="24"/>
        </w:rPr>
        <w:t>početka</w:t>
      </w:r>
      <w:proofErr w:type="spellEnd"/>
      <w:r w:rsidRPr="00772D3B">
        <w:rPr>
          <w:rFonts w:ascii="Times New Roman" w:hAnsi="Times New Roman"/>
          <w:sz w:val="24"/>
          <w:szCs w:val="24"/>
        </w:rPr>
        <w:t xml:space="preserve"> procesa verifikacije</w:t>
      </w:r>
      <w:r w:rsidR="00772D3B">
        <w:rPr>
          <w:rFonts w:ascii="Times New Roman" w:hAnsi="Times New Roman"/>
          <w:sz w:val="24"/>
          <w:szCs w:val="24"/>
        </w:rPr>
        <w:t>,</w:t>
      </w:r>
      <w:r w:rsidRPr="00772D3B">
        <w:rPr>
          <w:rFonts w:ascii="Times New Roman" w:hAnsi="Times New Roman"/>
          <w:sz w:val="24"/>
          <w:szCs w:val="24"/>
        </w:rPr>
        <w:t xml:space="preserve"> održano je 317  sjednica i verificirano je 28</w:t>
      </w:r>
      <w:r w:rsidR="00772D3B">
        <w:rPr>
          <w:rFonts w:ascii="Times New Roman" w:hAnsi="Times New Roman"/>
          <w:sz w:val="24"/>
          <w:szCs w:val="24"/>
        </w:rPr>
        <w:t xml:space="preserve"> </w:t>
      </w:r>
      <w:r w:rsidRPr="00772D3B">
        <w:rPr>
          <w:rFonts w:ascii="Times New Roman" w:hAnsi="Times New Roman"/>
          <w:sz w:val="24"/>
          <w:szCs w:val="24"/>
        </w:rPr>
        <w:t>600 prijava</w:t>
      </w:r>
      <w:r w:rsidR="00772D3B">
        <w:rPr>
          <w:rFonts w:ascii="Times New Roman" w:hAnsi="Times New Roman"/>
          <w:sz w:val="24"/>
          <w:szCs w:val="24"/>
        </w:rPr>
        <w:t xml:space="preserve">, od čega se na aktivne slučajeve </w:t>
      </w:r>
      <w:r w:rsidRPr="00772D3B">
        <w:rPr>
          <w:rFonts w:ascii="Times New Roman" w:hAnsi="Times New Roman"/>
          <w:sz w:val="24"/>
          <w:szCs w:val="24"/>
        </w:rPr>
        <w:t>odnos</w:t>
      </w:r>
      <w:r w:rsidR="00AF330F">
        <w:rPr>
          <w:rFonts w:ascii="Times New Roman" w:hAnsi="Times New Roman"/>
          <w:sz w:val="24"/>
          <w:szCs w:val="24"/>
        </w:rPr>
        <w:t>e</w:t>
      </w:r>
      <w:r w:rsidRPr="00772D3B">
        <w:rPr>
          <w:rFonts w:ascii="Times New Roman" w:hAnsi="Times New Roman"/>
          <w:sz w:val="24"/>
          <w:szCs w:val="24"/>
        </w:rPr>
        <w:t xml:space="preserve"> 7</w:t>
      </w:r>
      <w:r w:rsidR="00AF330F">
        <w:rPr>
          <w:rFonts w:ascii="Times New Roman" w:hAnsi="Times New Roman"/>
          <w:sz w:val="24"/>
          <w:szCs w:val="24"/>
        </w:rPr>
        <w:t xml:space="preserve"> </w:t>
      </w:r>
      <w:r w:rsidRPr="00772D3B">
        <w:rPr>
          <w:rFonts w:ascii="Times New Roman" w:hAnsi="Times New Roman"/>
          <w:sz w:val="24"/>
          <w:szCs w:val="24"/>
        </w:rPr>
        <w:t>573 prijave.</w:t>
      </w:r>
    </w:p>
    <w:p w14:paraId="511824D2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6496994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3B">
        <w:rPr>
          <w:rFonts w:ascii="Times New Roman" w:hAnsi="Times New Roman"/>
          <w:sz w:val="24"/>
          <w:szCs w:val="24"/>
        </w:rPr>
        <w:t>Registar brisanih osoba trenutno sadrži 865 prijave, a u 2020. godini je obrađen</w:t>
      </w:r>
      <w:r w:rsidR="00AF330F">
        <w:rPr>
          <w:rFonts w:ascii="Times New Roman" w:hAnsi="Times New Roman"/>
          <w:sz w:val="24"/>
          <w:szCs w:val="24"/>
        </w:rPr>
        <w:t>a</w:t>
      </w:r>
      <w:r w:rsidRPr="00772D3B">
        <w:rPr>
          <w:rFonts w:ascii="Times New Roman" w:hAnsi="Times New Roman"/>
          <w:sz w:val="24"/>
          <w:szCs w:val="24"/>
        </w:rPr>
        <w:t xml:space="preserve"> 201 prijava</w:t>
      </w:r>
      <w:r w:rsidR="00AF330F">
        <w:rPr>
          <w:rFonts w:ascii="Times New Roman" w:hAnsi="Times New Roman"/>
          <w:sz w:val="24"/>
          <w:szCs w:val="24"/>
        </w:rPr>
        <w:t>,</w:t>
      </w:r>
      <w:r w:rsidRPr="00772D3B">
        <w:rPr>
          <w:rFonts w:ascii="Times New Roman" w:hAnsi="Times New Roman"/>
          <w:sz w:val="24"/>
          <w:szCs w:val="24"/>
        </w:rPr>
        <w:t xml:space="preserve"> za koje je utvrđeno da prijavljena osoba nema status nestale osobe u smislu članka 4. stavak </w:t>
      </w:r>
      <w:r w:rsidR="00AF330F">
        <w:rPr>
          <w:rFonts w:ascii="Times New Roman" w:hAnsi="Times New Roman"/>
          <w:sz w:val="24"/>
          <w:szCs w:val="24"/>
        </w:rPr>
        <w:t>(</w:t>
      </w:r>
      <w:r w:rsidRPr="00772D3B">
        <w:rPr>
          <w:rFonts w:ascii="Times New Roman" w:hAnsi="Times New Roman"/>
          <w:sz w:val="24"/>
          <w:szCs w:val="24"/>
        </w:rPr>
        <w:t>3</w:t>
      </w:r>
      <w:r w:rsidR="00AF330F">
        <w:rPr>
          <w:rFonts w:ascii="Times New Roman" w:hAnsi="Times New Roman"/>
          <w:sz w:val="24"/>
          <w:szCs w:val="24"/>
        </w:rPr>
        <w:t>)</w:t>
      </w:r>
      <w:r w:rsidRPr="00772D3B">
        <w:rPr>
          <w:rFonts w:ascii="Times New Roman" w:hAnsi="Times New Roman"/>
          <w:sz w:val="24"/>
          <w:szCs w:val="24"/>
        </w:rPr>
        <w:t xml:space="preserve"> Pravilnika o Centralnoj evidenciji nestalih osoba Bosne i Hercegovine (osoba živa, nestala prije 30.04.1991. godine odnosno poslije 14.02.1996. godine  ili je iz službenih evidencija poznato mjesto ukopa).</w:t>
      </w:r>
    </w:p>
    <w:p w14:paraId="69640BB5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E2220C1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3B">
        <w:rPr>
          <w:rFonts w:ascii="Times New Roman" w:hAnsi="Times New Roman"/>
          <w:sz w:val="24"/>
          <w:szCs w:val="24"/>
        </w:rPr>
        <w:t>U Registru neverificiranih podataka nalaze se prijave koje je Komisija za verifikaciju  obradila tokom ove i proteklih godina, ali ove prijave  imaju element spornosti i potreban je daljnji rad na istima. U njemu se u 2020. godini nalazi</w:t>
      </w:r>
      <w:r w:rsidR="00AF330F">
        <w:rPr>
          <w:rFonts w:ascii="Times New Roman" w:hAnsi="Times New Roman"/>
          <w:sz w:val="24"/>
          <w:szCs w:val="24"/>
        </w:rPr>
        <w:t>lo</w:t>
      </w:r>
      <w:r w:rsidRPr="00772D3B">
        <w:rPr>
          <w:rFonts w:ascii="Times New Roman" w:hAnsi="Times New Roman"/>
          <w:sz w:val="24"/>
          <w:szCs w:val="24"/>
        </w:rPr>
        <w:t xml:space="preserve"> 2260 prijava</w:t>
      </w:r>
      <w:r w:rsidR="00AF330F">
        <w:rPr>
          <w:rFonts w:ascii="Times New Roman" w:hAnsi="Times New Roman"/>
          <w:sz w:val="24"/>
          <w:szCs w:val="24"/>
        </w:rPr>
        <w:t>,</w:t>
      </w:r>
      <w:r w:rsidRPr="00772D3B">
        <w:rPr>
          <w:rFonts w:ascii="Times New Roman" w:hAnsi="Times New Roman"/>
          <w:sz w:val="24"/>
          <w:szCs w:val="24"/>
        </w:rPr>
        <w:t xml:space="preserve"> što je za 596 prijava više u odnosu na 2019. godinu.</w:t>
      </w:r>
    </w:p>
    <w:p w14:paraId="3E4F6B93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7DEA99E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3B">
        <w:rPr>
          <w:rFonts w:ascii="Times New Roman" w:hAnsi="Times New Roman"/>
          <w:sz w:val="24"/>
          <w:szCs w:val="24"/>
        </w:rPr>
        <w:t>Ukupan broj obrađenih i završenih prijava u 2020. godini iznosi 1</w:t>
      </w:r>
      <w:r w:rsidR="00AF330F">
        <w:rPr>
          <w:rFonts w:ascii="Times New Roman" w:hAnsi="Times New Roman"/>
          <w:sz w:val="24"/>
          <w:szCs w:val="24"/>
        </w:rPr>
        <w:t xml:space="preserve"> </w:t>
      </w:r>
      <w:r w:rsidRPr="00772D3B">
        <w:rPr>
          <w:rFonts w:ascii="Times New Roman" w:hAnsi="Times New Roman"/>
          <w:sz w:val="24"/>
          <w:szCs w:val="24"/>
        </w:rPr>
        <w:t>201 (verificirane prijave i prijave iz Registra brisanih osoba ). U ovaj broj mogu se uključiti i prijave iz Registra neverificiranih podatka, te ukupan broj obrađenih prijava iznosi 1</w:t>
      </w:r>
      <w:r w:rsidR="00AF330F">
        <w:rPr>
          <w:rFonts w:ascii="Times New Roman" w:hAnsi="Times New Roman"/>
          <w:sz w:val="24"/>
          <w:szCs w:val="24"/>
        </w:rPr>
        <w:t xml:space="preserve"> </w:t>
      </w:r>
      <w:r w:rsidRPr="00772D3B">
        <w:rPr>
          <w:rFonts w:ascii="Times New Roman" w:hAnsi="Times New Roman"/>
          <w:sz w:val="24"/>
          <w:szCs w:val="24"/>
        </w:rPr>
        <w:t>797.</w:t>
      </w:r>
    </w:p>
    <w:p w14:paraId="041DC341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4D85894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3B">
        <w:rPr>
          <w:rFonts w:ascii="Times New Roman" w:hAnsi="Times New Roman"/>
          <w:sz w:val="24"/>
          <w:szCs w:val="24"/>
        </w:rPr>
        <w:t xml:space="preserve">Komisija za verifikaciju nije u potpunosti </w:t>
      </w:r>
      <w:proofErr w:type="spellStart"/>
      <w:r w:rsidRPr="00772D3B">
        <w:rPr>
          <w:rFonts w:ascii="Times New Roman" w:hAnsi="Times New Roman"/>
          <w:sz w:val="24"/>
          <w:szCs w:val="24"/>
        </w:rPr>
        <w:t>završila</w:t>
      </w:r>
      <w:proofErr w:type="spellEnd"/>
      <w:r w:rsidRPr="00772D3B">
        <w:rPr>
          <w:rFonts w:ascii="Times New Roman" w:hAnsi="Times New Roman"/>
          <w:sz w:val="24"/>
          <w:szCs w:val="24"/>
        </w:rPr>
        <w:t xml:space="preserve"> s verifikacijom osoba koje su identificirane DNA metodom, kao i nestalih osoba. Isto tako nastavljene su aktivnosti vezane za verifikaciju osoba identificiranih klasičnom metodom. </w:t>
      </w:r>
    </w:p>
    <w:p w14:paraId="7ACACF93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18A21E1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3B">
        <w:rPr>
          <w:rFonts w:ascii="Times New Roman" w:hAnsi="Times New Roman"/>
          <w:sz w:val="24"/>
          <w:szCs w:val="24"/>
        </w:rPr>
        <w:lastRenderedPageBreak/>
        <w:t xml:space="preserve">Proces </w:t>
      </w:r>
      <w:proofErr w:type="spellStart"/>
      <w:r w:rsidRPr="00772D3B">
        <w:rPr>
          <w:rFonts w:ascii="Times New Roman" w:hAnsi="Times New Roman"/>
          <w:sz w:val="24"/>
          <w:szCs w:val="24"/>
        </w:rPr>
        <w:t>podnošenja</w:t>
      </w:r>
      <w:proofErr w:type="spellEnd"/>
      <w:r w:rsidRPr="00772D3B">
        <w:rPr>
          <w:rFonts w:ascii="Times New Roman" w:hAnsi="Times New Roman"/>
          <w:sz w:val="24"/>
          <w:szCs w:val="24"/>
        </w:rPr>
        <w:t xml:space="preserve"> novih prijava i proces traženja još uvijek su otvoreni procesi. Stoga je nastavljeno zaprimanje novih zahtjeva za traženje nestalih osoba</w:t>
      </w:r>
      <w:r w:rsidR="00AF330F">
        <w:rPr>
          <w:rFonts w:ascii="Times New Roman" w:hAnsi="Times New Roman"/>
          <w:sz w:val="24"/>
          <w:szCs w:val="24"/>
        </w:rPr>
        <w:t xml:space="preserve">, te je u </w:t>
      </w:r>
      <w:r w:rsidRPr="00772D3B">
        <w:rPr>
          <w:rFonts w:ascii="Times New Roman" w:hAnsi="Times New Roman"/>
          <w:sz w:val="24"/>
          <w:szCs w:val="24"/>
        </w:rPr>
        <w:t xml:space="preserve">2020. godini zaprimljeno  14  novih zahtjeva za traženje nestalih osoba. Također je  zaprimljen  i određeni broj prijava koje nisu nove ali su tražene na zahtjev Instituta i  dostavljanje radi provjera i upotpunjavanja prijava i takvih prijava u 2020. godini je bilo 16.  Ukupno </w:t>
      </w:r>
      <w:r w:rsidR="00AF330F">
        <w:rPr>
          <w:rFonts w:ascii="Times New Roman" w:hAnsi="Times New Roman"/>
          <w:sz w:val="24"/>
          <w:szCs w:val="24"/>
        </w:rPr>
        <w:t xml:space="preserve">je </w:t>
      </w:r>
      <w:r w:rsidRPr="00772D3B">
        <w:rPr>
          <w:rFonts w:ascii="Times New Roman" w:hAnsi="Times New Roman"/>
          <w:sz w:val="24"/>
          <w:szCs w:val="24"/>
        </w:rPr>
        <w:t>u 2020. godini zaprim</w:t>
      </w:r>
      <w:r w:rsidR="00AF330F">
        <w:rPr>
          <w:rFonts w:ascii="Times New Roman" w:hAnsi="Times New Roman"/>
          <w:sz w:val="24"/>
          <w:szCs w:val="24"/>
        </w:rPr>
        <w:t>ljeno</w:t>
      </w:r>
      <w:r w:rsidRPr="00772D3B">
        <w:rPr>
          <w:rFonts w:ascii="Times New Roman" w:hAnsi="Times New Roman"/>
          <w:sz w:val="24"/>
          <w:szCs w:val="24"/>
        </w:rPr>
        <w:t xml:space="preserve"> 30 prijava.</w:t>
      </w:r>
    </w:p>
    <w:p w14:paraId="3B4288BC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2845F87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3B">
        <w:rPr>
          <w:rFonts w:ascii="Times New Roman" w:hAnsi="Times New Roman"/>
          <w:sz w:val="24"/>
          <w:szCs w:val="24"/>
        </w:rPr>
        <w:t xml:space="preserve">Institut za nestale osobe Bosne i Hercegovine je i tokom 2020. godine primao DNA izvještaje kojih je ukupno primljeno 248 , i to pozitivnih 69, pozitivnih </w:t>
      </w:r>
      <w:proofErr w:type="spellStart"/>
      <w:r w:rsidRPr="00772D3B">
        <w:rPr>
          <w:rFonts w:ascii="Times New Roman" w:hAnsi="Times New Roman"/>
          <w:sz w:val="24"/>
          <w:szCs w:val="24"/>
        </w:rPr>
        <w:t>reasocijacija</w:t>
      </w:r>
      <w:proofErr w:type="spellEnd"/>
      <w:r w:rsidRPr="00772D3B">
        <w:rPr>
          <w:rFonts w:ascii="Times New Roman" w:hAnsi="Times New Roman"/>
          <w:sz w:val="24"/>
          <w:szCs w:val="24"/>
        </w:rPr>
        <w:t xml:space="preserve"> 173  i negativnih 6. </w:t>
      </w:r>
    </w:p>
    <w:p w14:paraId="2B517F9B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9934AD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3B">
        <w:rPr>
          <w:rFonts w:ascii="Times New Roman" w:hAnsi="Times New Roman"/>
          <w:sz w:val="24"/>
          <w:szCs w:val="24"/>
        </w:rPr>
        <w:t>U  2020. godini od područnih ureda zaprim</w:t>
      </w:r>
      <w:r w:rsidR="00AF330F">
        <w:rPr>
          <w:rFonts w:ascii="Times New Roman" w:hAnsi="Times New Roman"/>
          <w:sz w:val="24"/>
          <w:szCs w:val="24"/>
        </w:rPr>
        <w:t xml:space="preserve">ljeno je 46 </w:t>
      </w:r>
      <w:r w:rsidRPr="00772D3B">
        <w:rPr>
          <w:rFonts w:ascii="Times New Roman" w:hAnsi="Times New Roman"/>
          <w:sz w:val="24"/>
          <w:szCs w:val="24"/>
        </w:rPr>
        <w:t>zapisnik</w:t>
      </w:r>
      <w:r w:rsidR="00AF330F">
        <w:rPr>
          <w:rFonts w:ascii="Times New Roman" w:hAnsi="Times New Roman"/>
          <w:sz w:val="24"/>
          <w:szCs w:val="24"/>
        </w:rPr>
        <w:t>a</w:t>
      </w:r>
      <w:r w:rsidRPr="00772D3B">
        <w:rPr>
          <w:rFonts w:ascii="Times New Roman" w:hAnsi="Times New Roman"/>
          <w:sz w:val="24"/>
          <w:szCs w:val="24"/>
        </w:rPr>
        <w:t xml:space="preserve"> o identifikaciji</w:t>
      </w:r>
      <w:r w:rsidR="00AF330F">
        <w:rPr>
          <w:rFonts w:ascii="Times New Roman" w:hAnsi="Times New Roman"/>
          <w:sz w:val="24"/>
          <w:szCs w:val="24"/>
        </w:rPr>
        <w:t xml:space="preserve"> nestalih</w:t>
      </w:r>
      <w:r w:rsidRPr="00772D3B">
        <w:rPr>
          <w:rFonts w:ascii="Times New Roman" w:hAnsi="Times New Roman"/>
          <w:sz w:val="24"/>
          <w:szCs w:val="24"/>
        </w:rPr>
        <w:t xml:space="preserve"> osoba. </w:t>
      </w:r>
    </w:p>
    <w:p w14:paraId="4086B9BF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B90B99E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2D3B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772D3B">
        <w:rPr>
          <w:rFonts w:ascii="Times New Roman" w:hAnsi="Times New Roman"/>
          <w:sz w:val="24"/>
          <w:szCs w:val="24"/>
        </w:rPr>
        <w:t>nadležnosti</w:t>
      </w:r>
      <w:proofErr w:type="spellEnd"/>
      <w:r w:rsidRPr="00772D3B">
        <w:rPr>
          <w:rFonts w:ascii="Times New Roman" w:hAnsi="Times New Roman"/>
          <w:sz w:val="24"/>
          <w:szCs w:val="24"/>
        </w:rPr>
        <w:t xml:space="preserve"> Instituta  je i izdavanje potvrda o statusu nestale osobe.  U 2020. godini izda</w:t>
      </w:r>
      <w:r w:rsidR="00AF330F">
        <w:rPr>
          <w:rFonts w:ascii="Times New Roman" w:hAnsi="Times New Roman"/>
          <w:sz w:val="24"/>
          <w:szCs w:val="24"/>
        </w:rPr>
        <w:t xml:space="preserve">to je </w:t>
      </w:r>
      <w:r w:rsidRPr="00772D3B">
        <w:rPr>
          <w:rFonts w:ascii="Times New Roman" w:hAnsi="Times New Roman"/>
          <w:sz w:val="24"/>
          <w:szCs w:val="24"/>
        </w:rPr>
        <w:t xml:space="preserve">30 potvrda o statusu nestale osobe. Potvrde se izdaju na zahtjev  stranaka i  koriste ih za rješavanje različitih statusnih pitanja. </w:t>
      </w:r>
    </w:p>
    <w:p w14:paraId="4A2DA516" w14:textId="77777777" w:rsidR="00123479" w:rsidRPr="00772D3B" w:rsidRDefault="00123479" w:rsidP="001234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42309CB" w14:textId="77777777" w:rsidR="00123479" w:rsidRPr="00772D3B" w:rsidRDefault="00123479" w:rsidP="00123479">
      <w:pPr>
        <w:jc w:val="both"/>
      </w:pPr>
      <w:r w:rsidRPr="00772D3B">
        <w:t>Zaposlenici CEN- a uključeni su u rad projekta Regionalne baze podataka aktivnih slučajeva  nestalih osoba uslijed oružanih sukoba u bivšoj Jugoslaviji. Zaposlenici CEN-a su na dnevnoj osnovi uključeni i sudjeluju u kreiranju Regionalne baze bilo da vrše određene korekcije i  prave unose izravno, bilo na neizravan način tako da priskrbljuju određenu dokumentaciju na temelju koje se vrši unos u navedenu bazu. U 2020 godini zaposlenici Sektora CEN-a izvršili su ukupno 1</w:t>
      </w:r>
      <w:r w:rsidR="00AF330F">
        <w:t xml:space="preserve"> </w:t>
      </w:r>
      <w:r w:rsidRPr="00772D3B">
        <w:t>326 izmjena za 300 osoba od čega se 863 unosa odnos</w:t>
      </w:r>
      <w:r w:rsidR="00AF330F">
        <w:t>e</w:t>
      </w:r>
      <w:r w:rsidRPr="00772D3B">
        <w:t xml:space="preserve"> na izmjene podataka, 195 se odnosi na unos novih podataka i 268 izmjena  se odnosi na prebacivanje sa ICMP BiH liste na BiH listu. U 2020. godini također je izvršen odnosno  kreiran unos za 24 osobe za koje do tada uopće nisu postojali podaci na Regionalnoj listi.</w:t>
      </w:r>
    </w:p>
    <w:p w14:paraId="5F3B918D" w14:textId="77777777" w:rsidR="00123479" w:rsidRPr="00772D3B" w:rsidRDefault="00123479" w:rsidP="00123479">
      <w:pPr>
        <w:jc w:val="both"/>
      </w:pPr>
    </w:p>
    <w:p w14:paraId="0B4BC224" w14:textId="77777777" w:rsidR="00123479" w:rsidRPr="00772D3B" w:rsidRDefault="00123479" w:rsidP="00123479">
      <w:pPr>
        <w:jc w:val="both"/>
      </w:pPr>
      <w:r w:rsidRPr="00772D3B">
        <w:t>Koncem godine započe</w:t>
      </w:r>
      <w:r w:rsidR="00AF330F">
        <w:t xml:space="preserve">to je </w:t>
      </w:r>
      <w:r w:rsidRPr="00772D3B">
        <w:t xml:space="preserve">sa registriranjem svih do sada zaprimljenih zapisnika o ekshumacijama i koji će </w:t>
      </w:r>
      <w:proofErr w:type="spellStart"/>
      <w:r w:rsidRPr="00772D3B">
        <w:t>poslužiti</w:t>
      </w:r>
      <w:proofErr w:type="spellEnd"/>
      <w:r w:rsidRPr="00772D3B">
        <w:t xml:space="preserve"> prilikom kreiranja budućeg Modula 2 za nadogradnju  FDMS sustava. U navedenom Modulu 2 biti će sadržani podaci o ekshumacijama.</w:t>
      </w:r>
    </w:p>
    <w:p w14:paraId="7463927A" w14:textId="77777777" w:rsidR="00123479" w:rsidRPr="00772D3B" w:rsidRDefault="00123479" w:rsidP="00123479">
      <w:pPr>
        <w:jc w:val="both"/>
      </w:pPr>
    </w:p>
    <w:p w14:paraId="2AF74364" w14:textId="77777777" w:rsidR="00123479" w:rsidRPr="00772D3B" w:rsidRDefault="00123479" w:rsidP="00123479">
      <w:pPr>
        <w:jc w:val="both"/>
      </w:pPr>
      <w:r w:rsidRPr="00772D3B">
        <w:t xml:space="preserve">U 2020 godini nastavljeno je sa ažuriranjem  online upitnika/ baze nestalih na </w:t>
      </w:r>
      <w:r w:rsidRPr="00AF330F">
        <w:rPr>
          <w:i/>
        </w:rPr>
        <w:t>web stranicu ino.ba</w:t>
      </w:r>
      <w:r w:rsidRPr="00772D3B">
        <w:t xml:space="preserve"> na kojoj se nalazi podaci o nestalim osobama iz prijava koje su do sada verificirane. Ovaj pretraživač se povremeno dopunjuje sa prijavama koje se u međuvremenu verificiraju </w:t>
      </w:r>
      <w:r w:rsidR="00AF330F">
        <w:t>a</w:t>
      </w:r>
      <w:r w:rsidRPr="00772D3B">
        <w:t xml:space="preserve"> zaposlenici  odgovaraju  na upite koji dolaze na </w:t>
      </w:r>
      <w:proofErr w:type="spellStart"/>
      <w:r w:rsidRPr="00772D3B">
        <w:t>pridruženu</w:t>
      </w:r>
      <w:proofErr w:type="spellEnd"/>
      <w:r w:rsidRPr="00772D3B">
        <w:t xml:space="preserve"> </w:t>
      </w:r>
      <w:proofErr w:type="spellStart"/>
      <w:r w:rsidRPr="00772D3B">
        <w:t>mail</w:t>
      </w:r>
      <w:proofErr w:type="spellEnd"/>
      <w:r w:rsidRPr="00772D3B">
        <w:t xml:space="preserve"> adresu</w:t>
      </w:r>
      <w:r w:rsidR="00F23587">
        <w:t xml:space="preserve">: </w:t>
      </w:r>
      <w:r w:rsidRPr="00F23587">
        <w:rPr>
          <w:i/>
        </w:rPr>
        <w:t>nestali@ino.ba</w:t>
      </w:r>
      <w:r w:rsidRPr="00772D3B">
        <w:t>.</w:t>
      </w:r>
    </w:p>
    <w:p w14:paraId="6AE10A8C" w14:textId="77777777" w:rsidR="0011180F" w:rsidRPr="00003709" w:rsidRDefault="0011180F" w:rsidP="0011180F">
      <w:pPr>
        <w:pStyle w:val="Heading3"/>
        <w:rPr>
          <w:rFonts w:ascii="Times New Roman" w:hAnsi="Times New Roman"/>
          <w:color w:val="auto"/>
          <w:sz w:val="24"/>
          <w:szCs w:val="24"/>
        </w:rPr>
      </w:pPr>
      <w:r w:rsidRPr="00003709">
        <w:rPr>
          <w:rFonts w:ascii="Times New Roman" w:hAnsi="Times New Roman"/>
          <w:color w:val="auto"/>
          <w:sz w:val="24"/>
          <w:szCs w:val="24"/>
        </w:rPr>
        <w:t>1</w:t>
      </w:r>
      <w:r w:rsidR="00FB5EE6" w:rsidRPr="00003709">
        <w:rPr>
          <w:rFonts w:ascii="Times New Roman" w:hAnsi="Times New Roman"/>
          <w:color w:val="auto"/>
          <w:sz w:val="24"/>
          <w:szCs w:val="24"/>
        </w:rPr>
        <w:t>.6</w:t>
      </w:r>
      <w:r w:rsidRPr="00003709">
        <w:rPr>
          <w:rFonts w:ascii="Times New Roman" w:hAnsi="Times New Roman"/>
          <w:color w:val="auto"/>
          <w:sz w:val="24"/>
          <w:szCs w:val="24"/>
        </w:rPr>
        <w:t>. Saradnja sa obiteljima nestalih i njihovim udru</w:t>
      </w:r>
      <w:bookmarkEnd w:id="6"/>
      <w:bookmarkEnd w:id="7"/>
      <w:r w:rsidR="006F1A37" w:rsidRPr="00003709">
        <w:rPr>
          <w:rFonts w:ascii="Times New Roman" w:hAnsi="Times New Roman"/>
          <w:color w:val="auto"/>
          <w:sz w:val="24"/>
          <w:szCs w:val="24"/>
        </w:rPr>
        <w:t>ženjima</w:t>
      </w:r>
    </w:p>
    <w:p w14:paraId="565E980A" w14:textId="77777777" w:rsidR="0011180F" w:rsidRPr="00003709" w:rsidRDefault="0011180F" w:rsidP="0011180F"/>
    <w:p w14:paraId="05FBA927" w14:textId="77777777" w:rsidR="00BA6E9C" w:rsidRPr="00003709" w:rsidRDefault="0011180F" w:rsidP="00280C58">
      <w:pPr>
        <w:jc w:val="both"/>
      </w:pPr>
      <w:r w:rsidRPr="00003709">
        <w:t xml:space="preserve">U svom radu, </w:t>
      </w:r>
      <w:r w:rsidR="00BA6E9C" w:rsidRPr="00003709">
        <w:t xml:space="preserve"> Institut </w:t>
      </w:r>
      <w:r w:rsidRPr="00003709">
        <w:t>izuzetn</w:t>
      </w:r>
      <w:r w:rsidR="00BA6E9C" w:rsidRPr="00003709">
        <w:t>u</w:t>
      </w:r>
      <w:r w:rsidRPr="00003709">
        <w:t xml:space="preserve"> pažnj</w:t>
      </w:r>
      <w:r w:rsidR="00BA6E9C" w:rsidRPr="00003709">
        <w:t xml:space="preserve">u poklanja </w:t>
      </w:r>
      <w:r w:rsidRPr="00003709">
        <w:t xml:space="preserve"> članovima obitelji nestalih osoba i njihovim udruženjima. Ta saradnja se ogleda kroz neposredne kontakte</w:t>
      </w:r>
      <w:r w:rsidR="00BA6E9C" w:rsidRPr="00003709">
        <w:t xml:space="preserve"> </w:t>
      </w:r>
      <w:r w:rsidRPr="00003709">
        <w:t>sa članovima obitelji nestalih osoba, kroz pružanje traženih informacija o okolnostima i sudbini nestalih osoba, međusobnoj razmjeni informacija kao i pomoći obiteljima nestalih osoba prilikom identifikacije nestalih članova njihovih obitelji.</w:t>
      </w:r>
      <w:r w:rsidR="00BA6E9C" w:rsidRPr="00003709">
        <w:t xml:space="preserve"> </w:t>
      </w:r>
      <w:r w:rsidR="00DB44CD" w:rsidRPr="00003709">
        <w:t>Takođe</w:t>
      </w:r>
      <w:r w:rsidR="00F23587">
        <w:t>r</w:t>
      </w:r>
      <w:r w:rsidR="00BA6E9C" w:rsidRPr="00003709">
        <w:t xml:space="preserve"> </w:t>
      </w:r>
      <w:r w:rsidR="00DB44CD" w:rsidRPr="00003709">
        <w:t xml:space="preserve"> su  č</w:t>
      </w:r>
      <w:r w:rsidR="006F1A37" w:rsidRPr="00003709">
        <w:t>l</w:t>
      </w:r>
      <w:r w:rsidR="00DB44CD" w:rsidRPr="00003709">
        <w:t>anovi K</w:t>
      </w:r>
      <w:r w:rsidR="00E84B3A" w:rsidRPr="00003709">
        <w:t>olegija direktora  u toku 20</w:t>
      </w:r>
      <w:r w:rsidR="00472114" w:rsidRPr="00003709">
        <w:t>20</w:t>
      </w:r>
      <w:r w:rsidR="00E84B3A" w:rsidRPr="00003709">
        <w:t>.</w:t>
      </w:r>
      <w:r w:rsidR="00DB44CD" w:rsidRPr="00003709">
        <w:t>godine imali više sastanaka sa članovima obitelji nestalih osoba i njihovim udruženjima</w:t>
      </w:r>
      <w:r w:rsidR="00BA6E9C" w:rsidRPr="00003709">
        <w:t>.</w:t>
      </w:r>
    </w:p>
    <w:p w14:paraId="2294F7C4" w14:textId="77777777" w:rsidR="00BA6E9C" w:rsidRPr="00003709" w:rsidRDefault="00BA6E9C" w:rsidP="00280C58">
      <w:pPr>
        <w:jc w:val="both"/>
      </w:pPr>
    </w:p>
    <w:p w14:paraId="47F1CF54" w14:textId="77777777" w:rsidR="00003709" w:rsidRPr="00003709" w:rsidRDefault="00DB44CD" w:rsidP="00280C58">
      <w:pPr>
        <w:jc w:val="both"/>
      </w:pPr>
      <w:r w:rsidRPr="00003709">
        <w:lastRenderedPageBreak/>
        <w:t xml:space="preserve">Savjetodavni  odbor je  formiran od strane Upravnog odbora prvenstveno radi ostvarivanja </w:t>
      </w:r>
      <w:proofErr w:type="spellStart"/>
      <w:r w:rsidRPr="00003709">
        <w:t>interesa</w:t>
      </w:r>
      <w:proofErr w:type="spellEnd"/>
      <w:r w:rsidRPr="00003709">
        <w:t xml:space="preserve"> članova obitelji  nestalih osoba  i njega čine </w:t>
      </w:r>
      <w:r w:rsidR="006F1A37" w:rsidRPr="00003709">
        <w:rPr>
          <w:sz w:val="23"/>
          <w:szCs w:val="23"/>
        </w:rPr>
        <w:t>predstavnici obitelji</w:t>
      </w:r>
      <w:r w:rsidRPr="00003709">
        <w:rPr>
          <w:sz w:val="23"/>
          <w:szCs w:val="23"/>
        </w:rPr>
        <w:t xml:space="preserve"> nestalih osoba. Savjetodavni odbor prati aktivnosti Instituta, </w:t>
      </w:r>
      <w:r w:rsidRPr="00003709">
        <w:t>promovira rješavanje problema nestalih osoba i predlaže projekte i inicijative relevantne za rad Instituta.</w:t>
      </w:r>
    </w:p>
    <w:p w14:paraId="22AB9B0A" w14:textId="77777777" w:rsidR="00003709" w:rsidRPr="00003709" w:rsidRDefault="00003709" w:rsidP="00280C58">
      <w:pPr>
        <w:jc w:val="both"/>
      </w:pPr>
    </w:p>
    <w:p w14:paraId="2C679A16" w14:textId="77777777" w:rsidR="00280C58" w:rsidRDefault="00003709" w:rsidP="00280C58">
      <w:pPr>
        <w:jc w:val="both"/>
      </w:pPr>
      <w:r w:rsidRPr="00003709">
        <w:t xml:space="preserve">U skladu sa Planom rada za 2020. godinu, Savjetodavni odbor Instituta za nestale osobe Bosne i Hercegovine </w:t>
      </w:r>
      <w:proofErr w:type="spellStart"/>
      <w:r w:rsidRPr="00003709">
        <w:t>održao</w:t>
      </w:r>
      <w:proofErr w:type="spellEnd"/>
      <w:r w:rsidRPr="00003709">
        <w:t xml:space="preserve"> je 12 sjednica, na kojima se  raspravljalo  o 59 različitih tačaka dnevnog reda</w:t>
      </w:r>
      <w:r>
        <w:t>.</w:t>
      </w:r>
    </w:p>
    <w:p w14:paraId="1D8F1476" w14:textId="77777777" w:rsidR="0011180F" w:rsidRPr="00277751" w:rsidRDefault="0011180F" w:rsidP="0011180F">
      <w:pPr>
        <w:pStyle w:val="Heading3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Toc445285945"/>
      <w:r w:rsidRPr="00277751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FB5EE6" w:rsidRPr="0027775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277751">
        <w:rPr>
          <w:rFonts w:ascii="Times New Roman" w:hAnsi="Times New Roman"/>
          <w:color w:val="000000" w:themeColor="text1"/>
          <w:sz w:val="24"/>
          <w:szCs w:val="24"/>
        </w:rPr>
        <w:t>. Izvještavanje javnosti</w:t>
      </w:r>
      <w:bookmarkEnd w:id="8"/>
    </w:p>
    <w:p w14:paraId="1510BDE0" w14:textId="77777777" w:rsidR="0011180F" w:rsidRPr="00277751" w:rsidRDefault="0011180F" w:rsidP="0011180F">
      <w:pPr>
        <w:ind w:right="-7"/>
        <w:jc w:val="both"/>
        <w:rPr>
          <w:b/>
          <w:bCs/>
          <w:color w:val="000000" w:themeColor="text1"/>
        </w:rPr>
      </w:pPr>
    </w:p>
    <w:p w14:paraId="3E50E708" w14:textId="77777777" w:rsidR="00003709" w:rsidRDefault="00003709" w:rsidP="00003709">
      <w:pPr>
        <w:jc w:val="both"/>
        <w:rPr>
          <w:color w:val="000000" w:themeColor="text1"/>
        </w:rPr>
      </w:pPr>
      <w:r>
        <w:rPr>
          <w:color w:val="000000" w:themeColor="text1"/>
        </w:rPr>
        <w:t>U 2020.</w:t>
      </w:r>
      <w:r w:rsidRPr="00277751">
        <w:rPr>
          <w:color w:val="000000" w:themeColor="text1"/>
        </w:rPr>
        <w:t xml:space="preserve">godini  poslovi iz oblasti odnosa sa javnošću realizirali su se kroz koordinaciju svih press aktivnosti i javnih istupa, uključujući i aktivnosti na terenu, </w:t>
      </w:r>
      <w:r>
        <w:rPr>
          <w:color w:val="000000" w:themeColor="text1"/>
        </w:rPr>
        <w:t xml:space="preserve">te </w:t>
      </w:r>
      <w:r w:rsidRPr="00277751">
        <w:rPr>
          <w:color w:val="000000" w:themeColor="text1"/>
        </w:rPr>
        <w:t xml:space="preserve">odobravanje zahtjeva za intervjue medija sa </w:t>
      </w:r>
      <w:r>
        <w:rPr>
          <w:color w:val="000000" w:themeColor="text1"/>
        </w:rPr>
        <w:t>zapo</w:t>
      </w:r>
      <w:r w:rsidRPr="00277751">
        <w:rPr>
          <w:color w:val="000000" w:themeColor="text1"/>
        </w:rPr>
        <w:t>slenicima</w:t>
      </w:r>
      <w:r>
        <w:rPr>
          <w:color w:val="000000" w:themeColor="text1"/>
        </w:rPr>
        <w:t xml:space="preserve"> Instituta. Također, redovno se ažurirala i dopunjavala web stranica </w:t>
      </w:r>
      <w:hyperlink r:id="rId9" w:history="1">
        <w:r w:rsidRPr="00066666">
          <w:rPr>
            <w:rStyle w:val="Hyperlink"/>
            <w:rFonts w:eastAsia="SimSun"/>
          </w:rPr>
          <w:t>www.ino.ba</w:t>
        </w:r>
      </w:hyperlink>
      <w:r>
        <w:rPr>
          <w:color w:val="000000" w:themeColor="text1"/>
        </w:rPr>
        <w:t xml:space="preserve"> ,  putem koje se javnost također može informirati o svim aktivnostima Instituta za nestale osobe BiH.  Objavom traženih dokumenata i informacija na web stranici također su ispoštovani svi standardni </w:t>
      </w:r>
      <w:proofErr w:type="spellStart"/>
      <w:r>
        <w:rPr>
          <w:color w:val="000000" w:themeColor="text1"/>
        </w:rPr>
        <w:t>proaktivne</w:t>
      </w:r>
      <w:proofErr w:type="spellEnd"/>
      <w:r>
        <w:rPr>
          <w:color w:val="000000" w:themeColor="text1"/>
        </w:rPr>
        <w:t xml:space="preserve"> transparentnosti u javnoj upravi, a prema </w:t>
      </w:r>
      <w:proofErr w:type="spellStart"/>
      <w:r>
        <w:rPr>
          <w:color w:val="000000" w:themeColor="text1"/>
        </w:rPr>
        <w:t>zaduženju</w:t>
      </w:r>
      <w:proofErr w:type="spellEnd"/>
      <w:r>
        <w:rPr>
          <w:color w:val="000000" w:themeColor="text1"/>
        </w:rPr>
        <w:t xml:space="preserve"> Vijeća ministara BiH.</w:t>
      </w:r>
    </w:p>
    <w:p w14:paraId="40BC01A3" w14:textId="77777777" w:rsidR="00003709" w:rsidRDefault="00003709" w:rsidP="00003709">
      <w:pPr>
        <w:jc w:val="both"/>
        <w:rPr>
          <w:color w:val="000000" w:themeColor="text1"/>
        </w:rPr>
      </w:pPr>
    </w:p>
    <w:p w14:paraId="07979AFE" w14:textId="77777777" w:rsidR="00003709" w:rsidRDefault="00003709" w:rsidP="00003709">
      <w:pPr>
        <w:jc w:val="both"/>
        <w:rPr>
          <w:color w:val="000000" w:themeColor="text1"/>
        </w:rPr>
      </w:pPr>
      <w:r w:rsidRPr="00277751">
        <w:rPr>
          <w:color w:val="000000" w:themeColor="text1"/>
        </w:rPr>
        <w:t>U izvještajnom periodu iz oblasti poslova odnosa s javnošću izvršeni su sljedeći poslovi:</w:t>
      </w:r>
    </w:p>
    <w:p w14:paraId="5E21AE68" w14:textId="77777777" w:rsidR="00003709" w:rsidRDefault="00003709" w:rsidP="00003709">
      <w:pPr>
        <w:jc w:val="both"/>
        <w:rPr>
          <w:color w:val="000000" w:themeColor="text1"/>
        </w:rPr>
      </w:pPr>
    </w:p>
    <w:tbl>
      <w:tblPr>
        <w:tblStyle w:val="TableGrid"/>
        <w:tblW w:w="14033" w:type="dxa"/>
        <w:tblInd w:w="137" w:type="dxa"/>
        <w:tblLook w:val="04A0" w:firstRow="1" w:lastRow="0" w:firstColumn="1" w:lastColumn="0" w:noHBand="0" w:noVBand="1"/>
      </w:tblPr>
      <w:tblGrid>
        <w:gridCol w:w="8678"/>
        <w:gridCol w:w="5355"/>
      </w:tblGrid>
      <w:tr w:rsidR="00003709" w14:paraId="0CDD147C" w14:textId="77777777" w:rsidTr="00003709">
        <w:trPr>
          <w:trHeight w:val="305"/>
        </w:trPr>
        <w:tc>
          <w:tcPr>
            <w:tcW w:w="8678" w:type="dxa"/>
          </w:tcPr>
          <w:p w14:paraId="4D2CA518" w14:textId="77777777" w:rsidR="00003709" w:rsidRPr="00D16F4F" w:rsidRDefault="00003709" w:rsidP="006B5FE0">
            <w:pPr>
              <w:rPr>
                <w:b/>
              </w:rPr>
            </w:pPr>
            <w:r w:rsidRPr="00D16F4F">
              <w:rPr>
                <w:b/>
              </w:rPr>
              <w:t>NAZIV AKTIVNOSTI</w:t>
            </w:r>
          </w:p>
        </w:tc>
        <w:tc>
          <w:tcPr>
            <w:tcW w:w="5355" w:type="dxa"/>
          </w:tcPr>
          <w:p w14:paraId="44C67757" w14:textId="77777777" w:rsidR="00003709" w:rsidRPr="00D16F4F" w:rsidRDefault="00003709" w:rsidP="006B5FE0">
            <w:pPr>
              <w:rPr>
                <w:b/>
              </w:rPr>
            </w:pPr>
            <w:r w:rsidRPr="00D16F4F">
              <w:rPr>
                <w:b/>
              </w:rPr>
              <w:t>BROJ</w:t>
            </w:r>
          </w:p>
        </w:tc>
      </w:tr>
      <w:tr w:rsidR="00003709" w14:paraId="0F9838DD" w14:textId="77777777" w:rsidTr="00003709">
        <w:trPr>
          <w:trHeight w:val="289"/>
        </w:trPr>
        <w:tc>
          <w:tcPr>
            <w:tcW w:w="8678" w:type="dxa"/>
          </w:tcPr>
          <w:p w14:paraId="18677E4A" w14:textId="77777777" w:rsidR="00003709" w:rsidRDefault="00003709" w:rsidP="006B5FE0">
            <w:r>
              <w:t xml:space="preserve">Ukupan broj saopćenja za javnost </w:t>
            </w:r>
          </w:p>
        </w:tc>
        <w:tc>
          <w:tcPr>
            <w:tcW w:w="5355" w:type="dxa"/>
          </w:tcPr>
          <w:p w14:paraId="55649AEC" w14:textId="77777777" w:rsidR="00003709" w:rsidRDefault="00003709" w:rsidP="006B5FE0">
            <w:r>
              <w:t>48</w:t>
            </w:r>
          </w:p>
        </w:tc>
      </w:tr>
      <w:tr w:rsidR="00003709" w14:paraId="4D99CCD6" w14:textId="77777777" w:rsidTr="00003709">
        <w:trPr>
          <w:trHeight w:val="305"/>
        </w:trPr>
        <w:tc>
          <w:tcPr>
            <w:tcW w:w="8678" w:type="dxa"/>
          </w:tcPr>
          <w:p w14:paraId="5DCA23B1" w14:textId="77777777" w:rsidR="00003709" w:rsidRDefault="00003709" w:rsidP="006B5FE0">
            <w:r>
              <w:t xml:space="preserve">Saopćenja za javnost u vezi ekshumacija </w:t>
            </w:r>
          </w:p>
        </w:tc>
        <w:tc>
          <w:tcPr>
            <w:tcW w:w="5355" w:type="dxa"/>
          </w:tcPr>
          <w:p w14:paraId="2EC819FD" w14:textId="77777777" w:rsidR="00003709" w:rsidRDefault="00003709" w:rsidP="006B5FE0">
            <w:r>
              <w:t>31</w:t>
            </w:r>
          </w:p>
        </w:tc>
      </w:tr>
      <w:tr w:rsidR="00003709" w14:paraId="255EA71D" w14:textId="77777777" w:rsidTr="00003709">
        <w:trPr>
          <w:trHeight w:val="289"/>
        </w:trPr>
        <w:tc>
          <w:tcPr>
            <w:tcW w:w="8678" w:type="dxa"/>
          </w:tcPr>
          <w:p w14:paraId="205403FD" w14:textId="77777777" w:rsidR="00003709" w:rsidRDefault="00003709" w:rsidP="006B5FE0">
            <w:r>
              <w:t xml:space="preserve">Saopćenja za javnost u vezi identifikacija </w:t>
            </w:r>
          </w:p>
        </w:tc>
        <w:tc>
          <w:tcPr>
            <w:tcW w:w="5355" w:type="dxa"/>
          </w:tcPr>
          <w:p w14:paraId="5229B702" w14:textId="77777777" w:rsidR="00003709" w:rsidRDefault="00003709" w:rsidP="006B5FE0">
            <w:r>
              <w:t>8</w:t>
            </w:r>
          </w:p>
        </w:tc>
      </w:tr>
      <w:tr w:rsidR="00003709" w14:paraId="69D1DA6F" w14:textId="77777777" w:rsidTr="00003709">
        <w:trPr>
          <w:trHeight w:val="305"/>
        </w:trPr>
        <w:tc>
          <w:tcPr>
            <w:tcW w:w="8678" w:type="dxa"/>
          </w:tcPr>
          <w:p w14:paraId="3B3DBFC7" w14:textId="77777777" w:rsidR="00003709" w:rsidRDefault="00003709" w:rsidP="006B5FE0">
            <w:r>
              <w:t xml:space="preserve">Saopćenje za javnost u vezi sastanaka i posjeta </w:t>
            </w:r>
          </w:p>
        </w:tc>
        <w:tc>
          <w:tcPr>
            <w:tcW w:w="5355" w:type="dxa"/>
          </w:tcPr>
          <w:p w14:paraId="4AF310A1" w14:textId="77777777" w:rsidR="00003709" w:rsidRDefault="00003709" w:rsidP="006B5FE0">
            <w:r>
              <w:t>7</w:t>
            </w:r>
          </w:p>
        </w:tc>
      </w:tr>
      <w:tr w:rsidR="00003709" w14:paraId="45AB2AD6" w14:textId="77777777" w:rsidTr="00003709">
        <w:trPr>
          <w:trHeight w:val="289"/>
        </w:trPr>
        <w:tc>
          <w:tcPr>
            <w:tcW w:w="8678" w:type="dxa"/>
          </w:tcPr>
          <w:p w14:paraId="32B5CE62" w14:textId="77777777" w:rsidR="00003709" w:rsidRDefault="00003709" w:rsidP="006B5FE0">
            <w:r>
              <w:t xml:space="preserve">Izjave za medije </w:t>
            </w:r>
          </w:p>
        </w:tc>
        <w:tc>
          <w:tcPr>
            <w:tcW w:w="5355" w:type="dxa"/>
          </w:tcPr>
          <w:p w14:paraId="03BB5B53" w14:textId="77777777" w:rsidR="00003709" w:rsidRDefault="00003709" w:rsidP="006B5FE0">
            <w:r>
              <w:t>632</w:t>
            </w:r>
          </w:p>
        </w:tc>
      </w:tr>
      <w:tr w:rsidR="00003709" w14:paraId="61C56BA8" w14:textId="77777777" w:rsidTr="00003709">
        <w:trPr>
          <w:trHeight w:val="305"/>
        </w:trPr>
        <w:tc>
          <w:tcPr>
            <w:tcW w:w="8678" w:type="dxa"/>
          </w:tcPr>
          <w:p w14:paraId="5297299C" w14:textId="77777777" w:rsidR="00003709" w:rsidRDefault="00003709" w:rsidP="006B5FE0">
            <w:r>
              <w:t xml:space="preserve">Pozivi za medije </w:t>
            </w:r>
          </w:p>
        </w:tc>
        <w:tc>
          <w:tcPr>
            <w:tcW w:w="5355" w:type="dxa"/>
          </w:tcPr>
          <w:p w14:paraId="0C2425A9" w14:textId="77777777" w:rsidR="00003709" w:rsidRDefault="00003709" w:rsidP="006B5FE0">
            <w:r>
              <w:t>2</w:t>
            </w:r>
          </w:p>
        </w:tc>
      </w:tr>
      <w:tr w:rsidR="00003709" w14:paraId="2BE4BA0E" w14:textId="77777777" w:rsidTr="00003709">
        <w:trPr>
          <w:trHeight w:val="289"/>
        </w:trPr>
        <w:tc>
          <w:tcPr>
            <w:tcW w:w="8678" w:type="dxa"/>
          </w:tcPr>
          <w:p w14:paraId="6DBFECC3" w14:textId="77777777" w:rsidR="00003709" w:rsidRDefault="00003709" w:rsidP="006B5FE0">
            <w:r>
              <w:t>Press konferencije</w:t>
            </w:r>
          </w:p>
        </w:tc>
        <w:tc>
          <w:tcPr>
            <w:tcW w:w="5355" w:type="dxa"/>
          </w:tcPr>
          <w:p w14:paraId="76EAE1C8" w14:textId="77777777" w:rsidR="00003709" w:rsidRDefault="00003709" w:rsidP="006B5FE0">
            <w:r>
              <w:t>2</w:t>
            </w:r>
          </w:p>
        </w:tc>
      </w:tr>
      <w:tr w:rsidR="00003709" w14:paraId="3B049E25" w14:textId="77777777" w:rsidTr="00003709">
        <w:trPr>
          <w:trHeight w:val="289"/>
        </w:trPr>
        <w:tc>
          <w:tcPr>
            <w:tcW w:w="8678" w:type="dxa"/>
          </w:tcPr>
          <w:p w14:paraId="00C2836E" w14:textId="77777777" w:rsidR="00003709" w:rsidRDefault="00003709" w:rsidP="006B5FE0">
            <w:r>
              <w:t xml:space="preserve">Zahtjevi za pristup informacijama </w:t>
            </w:r>
          </w:p>
        </w:tc>
        <w:tc>
          <w:tcPr>
            <w:tcW w:w="5355" w:type="dxa"/>
          </w:tcPr>
          <w:p w14:paraId="4138CC5B" w14:textId="77777777" w:rsidR="00003709" w:rsidRDefault="00003709" w:rsidP="006B5FE0">
            <w:r>
              <w:t>57</w:t>
            </w:r>
          </w:p>
        </w:tc>
      </w:tr>
    </w:tbl>
    <w:p w14:paraId="3B33C3A3" w14:textId="77777777" w:rsidR="00003709" w:rsidRDefault="00003709" w:rsidP="00003709">
      <w:pPr>
        <w:ind w:left="284" w:right="-7"/>
        <w:jc w:val="both"/>
        <w:rPr>
          <w:bCs/>
          <w:color w:val="000000" w:themeColor="text1"/>
          <w:sz w:val="20"/>
          <w:szCs w:val="20"/>
        </w:rPr>
      </w:pPr>
      <w:r w:rsidRPr="00277751">
        <w:rPr>
          <w:bCs/>
          <w:color w:val="000000" w:themeColor="text1"/>
          <w:sz w:val="20"/>
          <w:szCs w:val="20"/>
        </w:rPr>
        <w:t>Tabela 2. Prikaz aktivnosti  u odnosima sa javnošću u toku 20</w:t>
      </w:r>
      <w:r>
        <w:rPr>
          <w:bCs/>
          <w:color w:val="000000" w:themeColor="text1"/>
          <w:sz w:val="20"/>
          <w:szCs w:val="20"/>
        </w:rPr>
        <w:t>20.</w:t>
      </w:r>
      <w:r w:rsidRPr="00277751">
        <w:rPr>
          <w:bCs/>
          <w:color w:val="000000" w:themeColor="text1"/>
          <w:sz w:val="20"/>
          <w:szCs w:val="20"/>
        </w:rPr>
        <w:t>godine</w:t>
      </w:r>
    </w:p>
    <w:p w14:paraId="4BE52805" w14:textId="77777777" w:rsidR="0011180F" w:rsidRPr="00277751" w:rsidRDefault="0011180F" w:rsidP="0011180F">
      <w:pPr>
        <w:pStyle w:val="Heading3"/>
        <w:rPr>
          <w:rFonts w:ascii="Times New Roman" w:hAnsi="Times New Roman"/>
          <w:color w:val="000000" w:themeColor="text1"/>
          <w:sz w:val="24"/>
          <w:szCs w:val="24"/>
        </w:rPr>
      </w:pPr>
      <w:bookmarkStart w:id="9" w:name="_Toc445285946"/>
      <w:r w:rsidRPr="00277751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FB5EE6" w:rsidRPr="0027775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77751">
        <w:rPr>
          <w:rFonts w:ascii="Times New Roman" w:hAnsi="Times New Roman"/>
          <w:color w:val="000000" w:themeColor="text1"/>
          <w:sz w:val="24"/>
          <w:szCs w:val="24"/>
        </w:rPr>
        <w:t>. Pravni i administrativni poslovi</w:t>
      </w:r>
      <w:bookmarkEnd w:id="9"/>
      <w:r w:rsidRPr="002777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13D1F8F" w14:textId="77777777" w:rsidR="006C2FD6" w:rsidRPr="00277751" w:rsidRDefault="006C2FD6" w:rsidP="006C2FD6">
      <w:pPr>
        <w:rPr>
          <w:color w:val="000000" w:themeColor="text1"/>
          <w:lang w:eastAsia="en-US"/>
        </w:rPr>
      </w:pPr>
    </w:p>
    <w:p w14:paraId="10F07F54" w14:textId="77777777" w:rsidR="006C2FD6" w:rsidRPr="00277751" w:rsidRDefault="0011180F" w:rsidP="006C2FD6">
      <w:pPr>
        <w:jc w:val="both"/>
        <w:rPr>
          <w:color w:val="000000" w:themeColor="text1"/>
        </w:rPr>
      </w:pPr>
      <w:r w:rsidRPr="00277751">
        <w:rPr>
          <w:color w:val="000000" w:themeColor="text1"/>
        </w:rPr>
        <w:t>U toku 20</w:t>
      </w:r>
      <w:r w:rsidR="00472114">
        <w:rPr>
          <w:color w:val="000000" w:themeColor="text1"/>
        </w:rPr>
        <w:t>20</w:t>
      </w:r>
      <w:r w:rsidR="00E84B3A">
        <w:rPr>
          <w:color w:val="000000" w:themeColor="text1"/>
        </w:rPr>
        <w:t>.</w:t>
      </w:r>
      <w:r w:rsidRPr="00277751">
        <w:rPr>
          <w:color w:val="000000" w:themeColor="text1"/>
        </w:rPr>
        <w:t>godine pravni i administrativni</w:t>
      </w:r>
      <w:r w:rsidR="006F1A37">
        <w:rPr>
          <w:color w:val="000000" w:themeColor="text1"/>
        </w:rPr>
        <w:t xml:space="preserve"> poslovi su se temeljili na </w:t>
      </w:r>
      <w:proofErr w:type="spellStart"/>
      <w:r w:rsidR="006F1A37">
        <w:rPr>
          <w:color w:val="000000" w:themeColor="text1"/>
        </w:rPr>
        <w:t>prać</w:t>
      </w:r>
      <w:r w:rsidRPr="00277751">
        <w:rPr>
          <w:color w:val="000000" w:themeColor="text1"/>
        </w:rPr>
        <w:t>enju</w:t>
      </w:r>
      <w:proofErr w:type="spellEnd"/>
      <w:r w:rsidRPr="00277751">
        <w:rPr>
          <w:color w:val="000000" w:themeColor="text1"/>
        </w:rPr>
        <w:t xml:space="preserve"> i proučavanju propisa i općih akata iz oblasti koje ulaze u djelokrug rada Instituta, davanju inicijativa i prijedloga za izmjene i dopune istih, te inicijativa i prijedloga za donošenje novih propisa i općih akata iz oblasti koje ulaze u djelokrug rada Instituta</w:t>
      </w:r>
      <w:r w:rsidR="00EE2AB2" w:rsidRPr="00277751">
        <w:rPr>
          <w:color w:val="000000" w:themeColor="text1"/>
        </w:rPr>
        <w:t>.</w:t>
      </w:r>
      <w:r w:rsidR="006C2FD6" w:rsidRPr="00277751">
        <w:rPr>
          <w:color w:val="000000" w:themeColor="text1"/>
        </w:rPr>
        <w:t xml:space="preserve"> Po </w:t>
      </w:r>
      <w:proofErr w:type="spellStart"/>
      <w:r w:rsidR="006C2FD6" w:rsidRPr="00277751">
        <w:rPr>
          <w:color w:val="000000" w:themeColor="text1"/>
        </w:rPr>
        <w:t>okončanju</w:t>
      </w:r>
      <w:proofErr w:type="spellEnd"/>
      <w:r w:rsidR="006C2FD6" w:rsidRPr="00277751">
        <w:rPr>
          <w:color w:val="000000" w:themeColor="text1"/>
        </w:rPr>
        <w:t xml:space="preserve"> sjednica Kolegija direktora i sjednica Upravnog odbora, a u skladu sa izvodima iz zapisnika i donesenim zaključcima, rađene su odluke i iste dostavljane na realizaciju. </w:t>
      </w:r>
    </w:p>
    <w:p w14:paraId="75516CD7" w14:textId="77777777" w:rsidR="0011180F" w:rsidRDefault="00411BC0" w:rsidP="00411BC0">
      <w:pPr>
        <w:spacing w:before="100" w:beforeAutospacing="1" w:after="100" w:afterAutospacing="1" w:line="225" w:lineRule="atLeast"/>
        <w:jc w:val="both"/>
        <w:rPr>
          <w:color w:val="000000" w:themeColor="text1"/>
        </w:rPr>
      </w:pPr>
      <w:r w:rsidRPr="00277751">
        <w:rPr>
          <w:color w:val="000000" w:themeColor="text1"/>
        </w:rPr>
        <w:lastRenderedPageBreak/>
        <w:t>Z</w:t>
      </w:r>
      <w:r w:rsidR="0011180F" w:rsidRPr="00277751">
        <w:rPr>
          <w:color w:val="000000" w:themeColor="text1"/>
        </w:rPr>
        <w:t>aposlenici  su aktivno radili na predmetima koji se vode pred Sudom Bosne i Hercegovine protiv Instituta za nestale osobe Bosne i Hercegovine. U toku 20</w:t>
      </w:r>
      <w:r w:rsidR="00472114">
        <w:rPr>
          <w:color w:val="000000" w:themeColor="text1"/>
        </w:rPr>
        <w:t>20</w:t>
      </w:r>
      <w:r w:rsidR="00E84B3A">
        <w:rPr>
          <w:color w:val="000000" w:themeColor="text1"/>
        </w:rPr>
        <w:t>.</w:t>
      </w:r>
      <w:r w:rsidR="0011180F" w:rsidRPr="00277751">
        <w:rPr>
          <w:color w:val="000000" w:themeColor="text1"/>
        </w:rPr>
        <w:t xml:space="preserve">godine  vođena </w:t>
      </w:r>
      <w:r w:rsidR="007442CC" w:rsidRPr="00277751">
        <w:rPr>
          <w:color w:val="000000" w:themeColor="text1"/>
        </w:rPr>
        <w:t xml:space="preserve"> su 3</w:t>
      </w:r>
      <w:r w:rsidR="0011180F" w:rsidRPr="00277751">
        <w:rPr>
          <w:color w:val="000000" w:themeColor="text1"/>
        </w:rPr>
        <w:t xml:space="preserve"> sudska postupaka</w:t>
      </w:r>
      <w:r w:rsidR="007442CC" w:rsidRPr="00277751">
        <w:rPr>
          <w:color w:val="000000" w:themeColor="text1"/>
        </w:rPr>
        <w:t xml:space="preserve"> u kojem je jedna od strana Institut </w:t>
      </w:r>
      <w:r w:rsidR="0011180F" w:rsidRPr="00277751">
        <w:rPr>
          <w:color w:val="000000" w:themeColor="text1"/>
        </w:rPr>
        <w:t xml:space="preserve"> i to:</w:t>
      </w:r>
    </w:p>
    <w:p w14:paraId="4FC95E34" w14:textId="77777777" w:rsidR="00472114" w:rsidRPr="00472114" w:rsidRDefault="00472114" w:rsidP="00472114">
      <w:pPr>
        <w:rPr>
          <w:sz w:val="22"/>
          <w:szCs w:val="22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364"/>
        <w:gridCol w:w="2694"/>
        <w:gridCol w:w="1701"/>
        <w:gridCol w:w="1275"/>
        <w:gridCol w:w="1985"/>
        <w:gridCol w:w="4252"/>
      </w:tblGrid>
      <w:tr w:rsidR="00472114" w:rsidRPr="00472114" w14:paraId="7E772A4A" w14:textId="77777777" w:rsidTr="00472114">
        <w:tc>
          <w:tcPr>
            <w:tcW w:w="791" w:type="dxa"/>
            <w:shd w:val="clear" w:color="auto" w:fill="auto"/>
          </w:tcPr>
          <w:p w14:paraId="7B2FD285" w14:textId="77777777" w:rsidR="00472114" w:rsidRPr="00472114" w:rsidRDefault="00472114" w:rsidP="00122BED">
            <w:pPr>
              <w:jc w:val="center"/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Redni broj</w:t>
            </w:r>
          </w:p>
        </w:tc>
        <w:tc>
          <w:tcPr>
            <w:tcW w:w="1364" w:type="dxa"/>
            <w:shd w:val="clear" w:color="auto" w:fill="auto"/>
          </w:tcPr>
          <w:p w14:paraId="74AC2C27" w14:textId="77777777" w:rsidR="00472114" w:rsidRPr="00472114" w:rsidRDefault="00472114" w:rsidP="00122BED">
            <w:pPr>
              <w:jc w:val="center"/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 xml:space="preserve">Broj </w:t>
            </w:r>
            <w:proofErr w:type="spellStart"/>
            <w:r w:rsidRPr="00472114">
              <w:rPr>
                <w:sz w:val="22"/>
                <w:szCs w:val="22"/>
              </w:rPr>
              <w:t>upisnika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0C26CD7B" w14:textId="77777777" w:rsidR="00472114" w:rsidRPr="00472114" w:rsidRDefault="00472114" w:rsidP="00122BED">
            <w:pPr>
              <w:jc w:val="center"/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Tužitelj</w:t>
            </w:r>
          </w:p>
        </w:tc>
        <w:tc>
          <w:tcPr>
            <w:tcW w:w="1701" w:type="dxa"/>
            <w:shd w:val="clear" w:color="auto" w:fill="auto"/>
          </w:tcPr>
          <w:p w14:paraId="47A59E28" w14:textId="77777777" w:rsidR="00472114" w:rsidRPr="00472114" w:rsidRDefault="00472114" w:rsidP="00122BED">
            <w:pPr>
              <w:jc w:val="center"/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Tuženi</w:t>
            </w:r>
          </w:p>
        </w:tc>
        <w:tc>
          <w:tcPr>
            <w:tcW w:w="1275" w:type="dxa"/>
            <w:shd w:val="clear" w:color="auto" w:fill="auto"/>
          </w:tcPr>
          <w:p w14:paraId="37B14065" w14:textId="77777777" w:rsidR="00472114" w:rsidRPr="00472114" w:rsidRDefault="00472114" w:rsidP="00122BED">
            <w:pPr>
              <w:jc w:val="center"/>
              <w:rPr>
                <w:sz w:val="22"/>
                <w:szCs w:val="22"/>
              </w:rPr>
            </w:pPr>
            <w:proofErr w:type="spellStart"/>
            <w:r w:rsidRPr="00472114">
              <w:rPr>
                <w:sz w:val="22"/>
                <w:szCs w:val="22"/>
              </w:rPr>
              <w:t>Osnov</w:t>
            </w:r>
            <w:proofErr w:type="spellEnd"/>
            <w:r w:rsidRPr="00472114">
              <w:rPr>
                <w:sz w:val="22"/>
                <w:szCs w:val="22"/>
              </w:rPr>
              <w:t xml:space="preserve"> spora</w:t>
            </w:r>
          </w:p>
        </w:tc>
        <w:tc>
          <w:tcPr>
            <w:tcW w:w="1985" w:type="dxa"/>
            <w:shd w:val="clear" w:color="auto" w:fill="auto"/>
          </w:tcPr>
          <w:p w14:paraId="260030B2" w14:textId="77777777" w:rsidR="00472114" w:rsidRPr="00472114" w:rsidRDefault="00472114" w:rsidP="00122BED">
            <w:pPr>
              <w:jc w:val="center"/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Vrijednost</w:t>
            </w:r>
          </w:p>
          <w:p w14:paraId="7058D382" w14:textId="77777777" w:rsidR="00472114" w:rsidRPr="00472114" w:rsidRDefault="00472114" w:rsidP="00122BED">
            <w:pPr>
              <w:jc w:val="center"/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KM</w:t>
            </w:r>
          </w:p>
        </w:tc>
        <w:tc>
          <w:tcPr>
            <w:tcW w:w="4252" w:type="dxa"/>
            <w:shd w:val="clear" w:color="auto" w:fill="auto"/>
          </w:tcPr>
          <w:p w14:paraId="1AB720EF" w14:textId="77777777" w:rsidR="00472114" w:rsidRPr="00472114" w:rsidRDefault="00472114" w:rsidP="00122BED">
            <w:pPr>
              <w:jc w:val="center"/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Faza postupka</w:t>
            </w:r>
          </w:p>
        </w:tc>
      </w:tr>
      <w:tr w:rsidR="00472114" w:rsidRPr="00472114" w14:paraId="6B57DDAB" w14:textId="77777777" w:rsidTr="00472114">
        <w:tc>
          <w:tcPr>
            <w:tcW w:w="791" w:type="dxa"/>
            <w:shd w:val="clear" w:color="auto" w:fill="auto"/>
          </w:tcPr>
          <w:p w14:paraId="3C9E654D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1.</w:t>
            </w:r>
          </w:p>
        </w:tc>
        <w:tc>
          <w:tcPr>
            <w:tcW w:w="1364" w:type="dxa"/>
            <w:shd w:val="clear" w:color="auto" w:fill="auto"/>
          </w:tcPr>
          <w:p w14:paraId="23A0FDBC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P-162/14</w:t>
            </w:r>
          </w:p>
        </w:tc>
        <w:tc>
          <w:tcPr>
            <w:tcW w:w="2694" w:type="dxa"/>
            <w:shd w:val="clear" w:color="auto" w:fill="auto"/>
          </w:tcPr>
          <w:p w14:paraId="7232E910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Kutlača Marko</w:t>
            </w:r>
          </w:p>
        </w:tc>
        <w:tc>
          <w:tcPr>
            <w:tcW w:w="1701" w:type="dxa"/>
            <w:shd w:val="clear" w:color="auto" w:fill="auto"/>
          </w:tcPr>
          <w:p w14:paraId="26240DDD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Tužilaštvo</w:t>
            </w:r>
          </w:p>
          <w:p w14:paraId="5034A549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INO BIH</w:t>
            </w:r>
          </w:p>
        </w:tc>
        <w:tc>
          <w:tcPr>
            <w:tcW w:w="1275" w:type="dxa"/>
            <w:shd w:val="clear" w:color="auto" w:fill="auto"/>
          </w:tcPr>
          <w:p w14:paraId="0EB5BEBC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Dug</w:t>
            </w:r>
          </w:p>
        </w:tc>
        <w:tc>
          <w:tcPr>
            <w:tcW w:w="1985" w:type="dxa"/>
            <w:shd w:val="clear" w:color="auto" w:fill="auto"/>
          </w:tcPr>
          <w:p w14:paraId="6D62E446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92.532,38</w:t>
            </w:r>
          </w:p>
        </w:tc>
        <w:tc>
          <w:tcPr>
            <w:tcW w:w="4252" w:type="dxa"/>
            <w:shd w:val="clear" w:color="auto" w:fill="auto"/>
          </w:tcPr>
          <w:p w14:paraId="05DC3131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Postupak po žalbi tužitelja</w:t>
            </w:r>
          </w:p>
        </w:tc>
      </w:tr>
      <w:tr w:rsidR="00472114" w:rsidRPr="00472114" w14:paraId="28BED2D5" w14:textId="77777777" w:rsidTr="00472114">
        <w:tc>
          <w:tcPr>
            <w:tcW w:w="791" w:type="dxa"/>
            <w:shd w:val="clear" w:color="auto" w:fill="auto"/>
          </w:tcPr>
          <w:p w14:paraId="24DFE428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2.</w:t>
            </w:r>
          </w:p>
        </w:tc>
        <w:tc>
          <w:tcPr>
            <w:tcW w:w="1364" w:type="dxa"/>
            <w:shd w:val="clear" w:color="auto" w:fill="auto"/>
          </w:tcPr>
          <w:p w14:paraId="3C408FE6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P-381/15</w:t>
            </w:r>
          </w:p>
        </w:tc>
        <w:tc>
          <w:tcPr>
            <w:tcW w:w="2694" w:type="dxa"/>
            <w:shd w:val="clear" w:color="auto" w:fill="auto"/>
          </w:tcPr>
          <w:p w14:paraId="13DD3B55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Institut za nestale osobe BiH</w:t>
            </w:r>
          </w:p>
        </w:tc>
        <w:tc>
          <w:tcPr>
            <w:tcW w:w="1701" w:type="dxa"/>
            <w:shd w:val="clear" w:color="auto" w:fill="auto"/>
          </w:tcPr>
          <w:p w14:paraId="2939D803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Grad Mostar HNK</w:t>
            </w:r>
          </w:p>
        </w:tc>
        <w:tc>
          <w:tcPr>
            <w:tcW w:w="1275" w:type="dxa"/>
            <w:shd w:val="clear" w:color="auto" w:fill="auto"/>
          </w:tcPr>
          <w:p w14:paraId="2B20C468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Dug</w:t>
            </w:r>
          </w:p>
        </w:tc>
        <w:tc>
          <w:tcPr>
            <w:tcW w:w="1985" w:type="dxa"/>
            <w:shd w:val="clear" w:color="auto" w:fill="auto"/>
          </w:tcPr>
          <w:p w14:paraId="231B910A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6.588,72</w:t>
            </w:r>
          </w:p>
        </w:tc>
        <w:tc>
          <w:tcPr>
            <w:tcW w:w="4252" w:type="dxa"/>
            <w:shd w:val="clear" w:color="auto" w:fill="auto"/>
          </w:tcPr>
          <w:p w14:paraId="7397FC81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 xml:space="preserve">Predmet vraćen na prvostepeni postupak  </w:t>
            </w:r>
          </w:p>
        </w:tc>
      </w:tr>
      <w:tr w:rsidR="00472114" w:rsidRPr="00472114" w14:paraId="25AA7573" w14:textId="77777777" w:rsidTr="00472114">
        <w:tc>
          <w:tcPr>
            <w:tcW w:w="791" w:type="dxa"/>
            <w:shd w:val="clear" w:color="auto" w:fill="auto"/>
          </w:tcPr>
          <w:p w14:paraId="3BAAF37F" w14:textId="77777777" w:rsidR="00472114" w:rsidRPr="00472114" w:rsidRDefault="00472114" w:rsidP="006B5FE0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3.</w:t>
            </w:r>
          </w:p>
        </w:tc>
        <w:tc>
          <w:tcPr>
            <w:tcW w:w="1364" w:type="dxa"/>
            <w:shd w:val="clear" w:color="auto" w:fill="auto"/>
          </w:tcPr>
          <w:p w14:paraId="284C18DE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P-340/20</w:t>
            </w:r>
          </w:p>
          <w:p w14:paraId="0A62CC4D" w14:textId="77777777" w:rsidR="00472114" w:rsidRPr="00472114" w:rsidRDefault="00472114" w:rsidP="00122B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B445CAD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Žana Bojić</w:t>
            </w:r>
          </w:p>
        </w:tc>
        <w:tc>
          <w:tcPr>
            <w:tcW w:w="1701" w:type="dxa"/>
            <w:shd w:val="clear" w:color="auto" w:fill="auto"/>
          </w:tcPr>
          <w:p w14:paraId="58A3FCE3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INO BIH</w:t>
            </w:r>
          </w:p>
        </w:tc>
        <w:tc>
          <w:tcPr>
            <w:tcW w:w="1275" w:type="dxa"/>
            <w:shd w:val="clear" w:color="auto" w:fill="auto"/>
          </w:tcPr>
          <w:p w14:paraId="26297878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Radni spor</w:t>
            </w:r>
          </w:p>
        </w:tc>
        <w:tc>
          <w:tcPr>
            <w:tcW w:w="1985" w:type="dxa"/>
            <w:shd w:val="clear" w:color="auto" w:fill="auto"/>
          </w:tcPr>
          <w:p w14:paraId="1FFF4B91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 xml:space="preserve">1.000,00 </w:t>
            </w:r>
          </w:p>
        </w:tc>
        <w:tc>
          <w:tcPr>
            <w:tcW w:w="4252" w:type="dxa"/>
            <w:shd w:val="clear" w:color="auto" w:fill="auto"/>
          </w:tcPr>
          <w:p w14:paraId="2002C774" w14:textId="77777777" w:rsidR="00472114" w:rsidRPr="00472114" w:rsidRDefault="00472114" w:rsidP="00122BED">
            <w:pPr>
              <w:rPr>
                <w:sz w:val="22"/>
                <w:szCs w:val="22"/>
              </w:rPr>
            </w:pPr>
            <w:r w:rsidRPr="00472114">
              <w:rPr>
                <w:sz w:val="22"/>
                <w:szCs w:val="22"/>
              </w:rPr>
              <w:t>Priprema odgovora na tužbu</w:t>
            </w:r>
          </w:p>
        </w:tc>
      </w:tr>
    </w:tbl>
    <w:p w14:paraId="17687B1F" w14:textId="77777777" w:rsidR="00C766BB" w:rsidRPr="00277751" w:rsidRDefault="00C766BB" w:rsidP="006B5FE0">
      <w:pPr>
        <w:ind w:left="142" w:right="-7"/>
        <w:jc w:val="both"/>
        <w:rPr>
          <w:bCs/>
          <w:color w:val="000000" w:themeColor="text1"/>
          <w:sz w:val="20"/>
          <w:szCs w:val="20"/>
        </w:rPr>
      </w:pPr>
      <w:r w:rsidRPr="00277751">
        <w:rPr>
          <w:bCs/>
          <w:color w:val="000000" w:themeColor="text1"/>
          <w:sz w:val="20"/>
          <w:szCs w:val="20"/>
        </w:rPr>
        <w:t>Tabela 3. Prikaz akt</w:t>
      </w:r>
      <w:r w:rsidR="00E84B3A">
        <w:rPr>
          <w:bCs/>
          <w:color w:val="000000" w:themeColor="text1"/>
          <w:sz w:val="20"/>
          <w:szCs w:val="20"/>
        </w:rPr>
        <w:t>ivnih  sudskih sporova  u 20</w:t>
      </w:r>
      <w:r w:rsidR="00472114">
        <w:rPr>
          <w:bCs/>
          <w:color w:val="000000" w:themeColor="text1"/>
          <w:sz w:val="20"/>
          <w:szCs w:val="20"/>
        </w:rPr>
        <w:t>20</w:t>
      </w:r>
      <w:r w:rsidR="00E84B3A">
        <w:rPr>
          <w:bCs/>
          <w:color w:val="000000" w:themeColor="text1"/>
          <w:sz w:val="20"/>
          <w:szCs w:val="20"/>
        </w:rPr>
        <w:t>.</w:t>
      </w:r>
      <w:r w:rsidRPr="00277751">
        <w:rPr>
          <w:bCs/>
          <w:color w:val="000000" w:themeColor="text1"/>
          <w:sz w:val="20"/>
          <w:szCs w:val="20"/>
        </w:rPr>
        <w:t>godini</w:t>
      </w:r>
    </w:p>
    <w:p w14:paraId="1E480C89" w14:textId="77777777" w:rsidR="00C9474E" w:rsidRDefault="00C9474E" w:rsidP="0011180F">
      <w:pPr>
        <w:jc w:val="both"/>
      </w:pPr>
    </w:p>
    <w:p w14:paraId="4D15A70E" w14:textId="77777777" w:rsidR="0011180F" w:rsidRDefault="0011180F" w:rsidP="0011180F">
      <w:pPr>
        <w:jc w:val="both"/>
      </w:pPr>
      <w:r w:rsidRPr="00277751">
        <w:t>Po službenoj dužnosti ili po zahtjevu zaposlenika, rađena su pojedinačna rješenja ili odluke vezane za prava, dužnosti i odgovornosti zaposlenika iz radnog odnosa. U toku 20</w:t>
      </w:r>
      <w:r w:rsidR="00330B4F">
        <w:t>20</w:t>
      </w:r>
      <w:r w:rsidR="00E84B3A">
        <w:t>.</w:t>
      </w:r>
      <w:r w:rsidRPr="00277751">
        <w:t>godine urađen</w:t>
      </w:r>
      <w:r w:rsidR="006B5FE0">
        <w:t>o je</w:t>
      </w:r>
      <w:r w:rsidRPr="00277751">
        <w:t xml:space="preserve"> </w:t>
      </w:r>
      <w:r w:rsidR="00472114">
        <w:t>2</w:t>
      </w:r>
      <w:r w:rsidR="007448D0">
        <w:t>5</w:t>
      </w:r>
      <w:r w:rsidR="00ED4325">
        <w:t>5</w:t>
      </w:r>
      <w:r w:rsidR="00472114">
        <w:t xml:space="preserve"> </w:t>
      </w:r>
      <w:r w:rsidRPr="00277751">
        <w:t xml:space="preserve"> rješenja </w:t>
      </w:r>
      <w:r w:rsidR="00AB3B3F" w:rsidRPr="00277751">
        <w:t xml:space="preserve"> i to:</w:t>
      </w:r>
    </w:p>
    <w:p w14:paraId="52B6A245" w14:textId="77777777" w:rsidR="00C76517" w:rsidRPr="00277751" w:rsidRDefault="00C76517" w:rsidP="0011180F">
      <w:pPr>
        <w:jc w:val="both"/>
      </w:pPr>
    </w:p>
    <w:p w14:paraId="437C1745" w14:textId="77777777" w:rsidR="0011180F" w:rsidRPr="00330B4F" w:rsidRDefault="0011180F" w:rsidP="0011180F">
      <w:pPr>
        <w:numPr>
          <w:ilvl w:val="0"/>
          <w:numId w:val="13"/>
        </w:numPr>
        <w:jc w:val="both"/>
      </w:pPr>
      <w:r w:rsidRPr="00330B4F">
        <w:t xml:space="preserve">Rješenja o </w:t>
      </w:r>
      <w:proofErr w:type="spellStart"/>
      <w:r w:rsidRPr="00330B4F">
        <w:t>određivanju</w:t>
      </w:r>
      <w:proofErr w:type="spellEnd"/>
      <w:r w:rsidRPr="00330B4F">
        <w:t xml:space="preserve"> koeficijenta za obračun  i isplatu plaća </w:t>
      </w:r>
      <w:r w:rsidR="009A7536" w:rsidRPr="00330B4F">
        <w:t>-</w:t>
      </w:r>
      <w:r w:rsidRPr="00330B4F">
        <w:t xml:space="preserve"> </w:t>
      </w:r>
      <w:r w:rsidR="00330B4F" w:rsidRPr="00330B4F">
        <w:t>4</w:t>
      </w:r>
    </w:p>
    <w:p w14:paraId="0A95829E" w14:textId="77777777" w:rsidR="009A7536" w:rsidRPr="00330B4F" w:rsidRDefault="009A7536" w:rsidP="0011180F">
      <w:pPr>
        <w:numPr>
          <w:ilvl w:val="0"/>
          <w:numId w:val="13"/>
        </w:numPr>
        <w:jc w:val="both"/>
      </w:pPr>
      <w:r w:rsidRPr="00330B4F">
        <w:t>Rješenje o ocjeni rada -</w:t>
      </w:r>
      <w:r w:rsidR="006B5FE0">
        <w:t xml:space="preserve"> </w:t>
      </w:r>
      <w:r w:rsidRPr="00330B4F">
        <w:t>4</w:t>
      </w:r>
      <w:r w:rsidR="00330B4F" w:rsidRPr="00330B4F">
        <w:t>8</w:t>
      </w:r>
    </w:p>
    <w:p w14:paraId="24C0A4FE" w14:textId="77777777" w:rsidR="0011180F" w:rsidRPr="00330B4F" w:rsidRDefault="0011180F" w:rsidP="0011180F">
      <w:pPr>
        <w:numPr>
          <w:ilvl w:val="0"/>
          <w:numId w:val="13"/>
        </w:numPr>
        <w:jc w:val="both"/>
      </w:pPr>
      <w:r w:rsidRPr="00330B4F">
        <w:t>Rješenja o korišten</w:t>
      </w:r>
      <w:r w:rsidR="006C2FD6" w:rsidRPr="00330B4F">
        <w:t xml:space="preserve">ju prava na godišnji odmor - </w:t>
      </w:r>
      <w:r w:rsidR="00330B4F" w:rsidRPr="00330B4F">
        <w:t>52</w:t>
      </w:r>
    </w:p>
    <w:p w14:paraId="0D866397" w14:textId="77777777" w:rsidR="006C2FD6" w:rsidRPr="00330B4F" w:rsidRDefault="006C2FD6" w:rsidP="0011180F">
      <w:pPr>
        <w:numPr>
          <w:ilvl w:val="0"/>
          <w:numId w:val="13"/>
        </w:numPr>
        <w:jc w:val="both"/>
      </w:pPr>
      <w:r w:rsidRPr="00330B4F">
        <w:t>Rješenje o n</w:t>
      </w:r>
      <w:r w:rsidR="009A7536" w:rsidRPr="00330B4F">
        <w:t xml:space="preserve">ovčanoj nagradi- stimulaciji- </w:t>
      </w:r>
      <w:r w:rsidR="00330B4F" w:rsidRPr="00330B4F">
        <w:t>25</w:t>
      </w:r>
    </w:p>
    <w:p w14:paraId="77A75DFC" w14:textId="77777777" w:rsidR="009A7536" w:rsidRDefault="009A7536" w:rsidP="0011180F">
      <w:pPr>
        <w:numPr>
          <w:ilvl w:val="0"/>
          <w:numId w:val="13"/>
        </w:numPr>
        <w:jc w:val="both"/>
      </w:pPr>
      <w:r w:rsidRPr="00330B4F">
        <w:t xml:space="preserve">Rješenje o jubilarnoj nagradi </w:t>
      </w:r>
      <w:r w:rsidR="006B5FE0">
        <w:t>-</w:t>
      </w:r>
      <w:r w:rsidRPr="00330B4F">
        <w:t xml:space="preserve"> 1</w:t>
      </w:r>
      <w:r w:rsidR="00472114">
        <w:t>3</w:t>
      </w:r>
    </w:p>
    <w:p w14:paraId="6ACD8D59" w14:textId="77777777" w:rsidR="009A7536" w:rsidRPr="00330B4F" w:rsidRDefault="006C2FD6" w:rsidP="004B4091">
      <w:pPr>
        <w:numPr>
          <w:ilvl w:val="0"/>
          <w:numId w:val="13"/>
        </w:numPr>
        <w:jc w:val="both"/>
      </w:pPr>
      <w:r w:rsidRPr="00330B4F">
        <w:t xml:space="preserve">Rješenje o prekovremenom radu- </w:t>
      </w:r>
      <w:r w:rsidR="00330B4F" w:rsidRPr="00330B4F">
        <w:t>7</w:t>
      </w:r>
    </w:p>
    <w:p w14:paraId="6AB47276" w14:textId="77777777" w:rsidR="00330B4F" w:rsidRPr="00330B4F" w:rsidRDefault="00330B4F" w:rsidP="004B4091">
      <w:pPr>
        <w:numPr>
          <w:ilvl w:val="0"/>
          <w:numId w:val="13"/>
        </w:numPr>
        <w:jc w:val="both"/>
      </w:pPr>
      <w:r w:rsidRPr="00330B4F">
        <w:t>Rješenje o otpremnini</w:t>
      </w:r>
      <w:r w:rsidR="006B5FE0">
        <w:t xml:space="preserve"> </w:t>
      </w:r>
      <w:r w:rsidRPr="00330B4F">
        <w:t>-</w:t>
      </w:r>
      <w:r w:rsidR="006B5FE0">
        <w:t xml:space="preserve"> </w:t>
      </w:r>
      <w:r w:rsidRPr="00330B4F">
        <w:t>1</w:t>
      </w:r>
    </w:p>
    <w:p w14:paraId="2797FEB2" w14:textId="77777777" w:rsidR="004B4091" w:rsidRPr="00330B4F" w:rsidRDefault="004B4091" w:rsidP="004B4091">
      <w:pPr>
        <w:numPr>
          <w:ilvl w:val="0"/>
          <w:numId w:val="13"/>
        </w:numPr>
        <w:jc w:val="both"/>
      </w:pPr>
      <w:r w:rsidRPr="00330B4F">
        <w:t>Rješenje za ostvarivanje prava na naknadu prevoza</w:t>
      </w:r>
      <w:r w:rsidR="006B5FE0">
        <w:t xml:space="preserve"> </w:t>
      </w:r>
      <w:r w:rsidRPr="00330B4F">
        <w:t>-</w:t>
      </w:r>
      <w:r w:rsidR="006B5FE0">
        <w:t xml:space="preserve"> </w:t>
      </w:r>
      <w:r w:rsidR="00330B4F" w:rsidRPr="00330B4F">
        <w:t>1</w:t>
      </w:r>
    </w:p>
    <w:p w14:paraId="0D12C6BD" w14:textId="77777777" w:rsidR="004B4091" w:rsidRPr="00330B4F" w:rsidRDefault="004B4091" w:rsidP="004B4091">
      <w:pPr>
        <w:numPr>
          <w:ilvl w:val="0"/>
          <w:numId w:val="13"/>
        </w:numPr>
        <w:jc w:val="both"/>
      </w:pPr>
      <w:r w:rsidRPr="00330B4F">
        <w:t>Rješenja o novčanoj naknad</w:t>
      </w:r>
      <w:r w:rsidR="00330B4F" w:rsidRPr="00330B4F">
        <w:t>i za slučaj bolesti ili smrti</w:t>
      </w:r>
      <w:r w:rsidR="006B5FE0">
        <w:t xml:space="preserve"> </w:t>
      </w:r>
      <w:r w:rsidR="00330B4F" w:rsidRPr="00330B4F">
        <w:t>- 1</w:t>
      </w:r>
    </w:p>
    <w:p w14:paraId="245EEC7F" w14:textId="77777777" w:rsidR="006C2FD6" w:rsidRPr="00330B4F" w:rsidRDefault="006C2FD6" w:rsidP="004B4091">
      <w:pPr>
        <w:numPr>
          <w:ilvl w:val="0"/>
          <w:numId w:val="13"/>
        </w:numPr>
        <w:jc w:val="both"/>
      </w:pPr>
      <w:r w:rsidRPr="00330B4F">
        <w:t xml:space="preserve">Rješenje o prestanku ugovora o radu </w:t>
      </w:r>
      <w:r w:rsidR="00AB3B3F" w:rsidRPr="00330B4F">
        <w:t>-</w:t>
      </w:r>
      <w:r w:rsidRPr="00330B4F">
        <w:t xml:space="preserve"> </w:t>
      </w:r>
      <w:r w:rsidR="00330B4F" w:rsidRPr="00330B4F">
        <w:t>3</w:t>
      </w:r>
    </w:p>
    <w:p w14:paraId="68A38193" w14:textId="77777777" w:rsidR="006C2FD6" w:rsidRPr="00330B4F" w:rsidRDefault="006C2FD6" w:rsidP="0011180F">
      <w:pPr>
        <w:numPr>
          <w:ilvl w:val="0"/>
          <w:numId w:val="13"/>
        </w:numPr>
        <w:jc w:val="both"/>
      </w:pPr>
      <w:r w:rsidRPr="00330B4F">
        <w:t>Rješenje o korištenju osobnog vozila u službene svrhe</w:t>
      </w:r>
      <w:r w:rsidR="009A7536" w:rsidRPr="00330B4F">
        <w:t xml:space="preserve"> -</w:t>
      </w:r>
      <w:r w:rsidRPr="00330B4F">
        <w:t xml:space="preserve"> </w:t>
      </w:r>
      <w:r w:rsidR="00AB3B3F" w:rsidRPr="00330B4F">
        <w:t>1</w:t>
      </w:r>
      <w:r w:rsidR="00330B4F" w:rsidRPr="00330B4F">
        <w:t>00</w:t>
      </w:r>
    </w:p>
    <w:p w14:paraId="63AEE281" w14:textId="77777777" w:rsidR="009A7536" w:rsidRPr="00277751" w:rsidRDefault="009A7536" w:rsidP="00330B4F">
      <w:pPr>
        <w:jc w:val="both"/>
      </w:pPr>
    </w:p>
    <w:p w14:paraId="4734639A" w14:textId="77777777" w:rsidR="00AE66DB" w:rsidRDefault="0011180F" w:rsidP="00AE66DB">
      <w:pPr>
        <w:jc w:val="both"/>
      </w:pPr>
      <w:r w:rsidRPr="00277751">
        <w:t xml:space="preserve">Rađeni su akti vezani za ugovorne odnose sa trećim osobama i vođeno ažuriranje istih, sa ciljem blagovremenog </w:t>
      </w:r>
      <w:proofErr w:type="spellStart"/>
      <w:r w:rsidRPr="00277751">
        <w:t>izvršavanja</w:t>
      </w:r>
      <w:proofErr w:type="spellEnd"/>
      <w:r w:rsidRPr="00277751">
        <w:t xml:space="preserve"> obaveza proizašlih iz ugovora (ugovori o zakupu poslovnih prostorija, ugovori o djelu i drugo). Urađen</w:t>
      </w:r>
      <w:r w:rsidR="009A7536">
        <w:t xml:space="preserve">o </w:t>
      </w:r>
      <w:r w:rsidR="00AE66DB">
        <w:t>su urađena 32</w:t>
      </w:r>
      <w:r w:rsidRPr="00277751">
        <w:t xml:space="preserve"> različit</w:t>
      </w:r>
      <w:r w:rsidR="00AE66DB">
        <w:t xml:space="preserve">a </w:t>
      </w:r>
      <w:r w:rsidRPr="00277751">
        <w:t>ugovora</w:t>
      </w:r>
      <w:r w:rsidR="00AE66DB">
        <w:t xml:space="preserve">  (u</w:t>
      </w:r>
      <w:r w:rsidRPr="00277751">
        <w:t>govor o djelu</w:t>
      </w:r>
      <w:r w:rsidR="00AE66DB">
        <w:t>-</w:t>
      </w:r>
      <w:r w:rsidRPr="00277751">
        <w:t>čišćenje službenih prostorija</w:t>
      </w:r>
      <w:r w:rsidR="00AE66DB">
        <w:t>, u</w:t>
      </w:r>
      <w:r w:rsidRPr="00277751">
        <w:t>govor o zakupu poslovnih prostorija</w:t>
      </w:r>
      <w:r w:rsidR="00AE66DB">
        <w:t>, ugovor o pranju vozila)</w:t>
      </w:r>
      <w:r w:rsidR="00472114">
        <w:t xml:space="preserve">. </w:t>
      </w:r>
    </w:p>
    <w:p w14:paraId="3FDDE4A3" w14:textId="77777777" w:rsidR="00C42945" w:rsidRDefault="00C42945" w:rsidP="00AE66DB">
      <w:pPr>
        <w:jc w:val="both"/>
      </w:pPr>
    </w:p>
    <w:p w14:paraId="3E9904F3" w14:textId="77777777" w:rsidR="00C42945" w:rsidRPr="00277751" w:rsidRDefault="00C42945" w:rsidP="00AE66DB">
      <w:pPr>
        <w:jc w:val="both"/>
      </w:pPr>
    </w:p>
    <w:p w14:paraId="0F5FBFEA" w14:textId="77777777" w:rsidR="0011180F" w:rsidRPr="00277751" w:rsidRDefault="0011180F" w:rsidP="0011180F">
      <w:pPr>
        <w:pStyle w:val="Heading3"/>
        <w:rPr>
          <w:rFonts w:ascii="Times New Roman" w:hAnsi="Times New Roman"/>
          <w:color w:val="auto"/>
          <w:sz w:val="24"/>
          <w:szCs w:val="24"/>
        </w:rPr>
      </w:pPr>
      <w:bookmarkStart w:id="10" w:name="_Toc445285949"/>
      <w:r w:rsidRPr="00277751">
        <w:rPr>
          <w:rFonts w:ascii="Times New Roman" w:hAnsi="Times New Roman"/>
          <w:color w:val="auto"/>
          <w:sz w:val="24"/>
          <w:szCs w:val="24"/>
        </w:rPr>
        <w:lastRenderedPageBreak/>
        <w:t>1.</w:t>
      </w:r>
      <w:r w:rsidR="006C2FD6" w:rsidRPr="00277751">
        <w:rPr>
          <w:rFonts w:ascii="Times New Roman" w:hAnsi="Times New Roman"/>
          <w:color w:val="auto"/>
          <w:sz w:val="24"/>
          <w:szCs w:val="24"/>
        </w:rPr>
        <w:t>9</w:t>
      </w:r>
      <w:r w:rsidRPr="0027775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F1A37">
        <w:rPr>
          <w:rFonts w:ascii="Times New Roman" w:hAnsi="Times New Roman"/>
          <w:color w:val="auto"/>
          <w:sz w:val="24"/>
          <w:szCs w:val="24"/>
        </w:rPr>
        <w:t>Ured</w:t>
      </w:r>
      <w:r w:rsidRPr="00277751">
        <w:rPr>
          <w:rFonts w:ascii="Times New Roman" w:hAnsi="Times New Roman"/>
          <w:color w:val="auto"/>
          <w:sz w:val="24"/>
          <w:szCs w:val="24"/>
        </w:rPr>
        <w:t>sko poslovanje</w:t>
      </w:r>
      <w:bookmarkEnd w:id="10"/>
    </w:p>
    <w:p w14:paraId="67521B1E" w14:textId="77777777" w:rsidR="0011180F" w:rsidRPr="00277751" w:rsidRDefault="0011180F" w:rsidP="0011180F">
      <w:pPr>
        <w:jc w:val="both"/>
      </w:pPr>
    </w:p>
    <w:p w14:paraId="53E7470E" w14:textId="77777777" w:rsidR="0011180F" w:rsidRDefault="0011180F" w:rsidP="00B41957">
      <w:pPr>
        <w:jc w:val="both"/>
      </w:pPr>
      <w:r w:rsidRPr="00277751">
        <w:t>U toku 20</w:t>
      </w:r>
      <w:r w:rsidR="00AE66DB">
        <w:t>20</w:t>
      </w:r>
      <w:r w:rsidR="00E84B3A">
        <w:t>.</w:t>
      </w:r>
      <w:r w:rsidRPr="00277751">
        <w:t xml:space="preserve">godine, Institut je zaprimio ukupno </w:t>
      </w:r>
      <w:r w:rsidR="006B5FE0" w:rsidRPr="006B5FE0">
        <w:t>2120</w:t>
      </w:r>
      <w:r w:rsidRPr="006B5FE0">
        <w:t xml:space="preserve"> akt</w:t>
      </w:r>
      <w:r w:rsidR="00AB3B3F" w:rsidRPr="006B5FE0">
        <w:t>a</w:t>
      </w:r>
      <w:r w:rsidRPr="00277751">
        <w:t>.</w:t>
      </w:r>
      <w:r w:rsidR="008C0222">
        <w:t xml:space="preserve"> </w:t>
      </w:r>
      <w:r w:rsidR="006F1A37">
        <w:t>Uredsko</w:t>
      </w:r>
      <w:r w:rsidRPr="00277751">
        <w:t xml:space="preserve"> poslovanje vodilo se u skladu zakonima i podzako</w:t>
      </w:r>
      <w:r w:rsidR="006F1A37">
        <w:t>nskim propisima kojim je regulirana oblast ured</w:t>
      </w:r>
      <w:r w:rsidRPr="00277751">
        <w:t xml:space="preserve">skog poslovanja. Ustrojen je djelovodnik predmeta i akata, a Kolegij direktora je donio rješenje o </w:t>
      </w:r>
      <w:proofErr w:type="spellStart"/>
      <w:r w:rsidRPr="00277751">
        <w:t>određivanju</w:t>
      </w:r>
      <w:proofErr w:type="spellEnd"/>
      <w:r w:rsidRPr="00277751">
        <w:t xml:space="preserve"> organizacionih jedini</w:t>
      </w:r>
      <w:r w:rsidR="00B41957" w:rsidRPr="00277751">
        <w:t>ca i njihovih brojčanih oznaka.</w:t>
      </w:r>
    </w:p>
    <w:p w14:paraId="6A9DD946" w14:textId="77777777" w:rsidR="00777484" w:rsidRDefault="00777484" w:rsidP="00777484">
      <w:pPr>
        <w:pStyle w:val="Heading3"/>
        <w:rPr>
          <w:rFonts w:ascii="Times New Roman" w:hAnsi="Times New Roman"/>
          <w:color w:val="auto"/>
          <w:sz w:val="24"/>
          <w:szCs w:val="24"/>
        </w:rPr>
      </w:pPr>
      <w:bookmarkStart w:id="11" w:name="_Toc351753048"/>
      <w:bookmarkStart w:id="12" w:name="_Toc445285953"/>
      <w:r w:rsidRPr="008731B9">
        <w:rPr>
          <w:rFonts w:ascii="Times New Roman" w:hAnsi="Times New Roman"/>
          <w:color w:val="auto"/>
          <w:sz w:val="24"/>
          <w:szCs w:val="24"/>
        </w:rPr>
        <w:t xml:space="preserve">1.10. Nabavka opreme i sredstava </w:t>
      </w:r>
    </w:p>
    <w:p w14:paraId="44A52F91" w14:textId="77777777" w:rsidR="002E6E9D" w:rsidRPr="002E6E9D" w:rsidRDefault="002E6E9D" w:rsidP="002E6E9D">
      <w:pPr>
        <w:rPr>
          <w:lang w:eastAsia="en-US"/>
        </w:rPr>
      </w:pPr>
    </w:p>
    <w:p w14:paraId="101E9F0D" w14:textId="77777777" w:rsidR="00777484" w:rsidRPr="005D538F" w:rsidRDefault="00777484" w:rsidP="00777484">
      <w:pPr>
        <w:jc w:val="both"/>
      </w:pPr>
      <w:r w:rsidRPr="008731B9">
        <w:t>U okviru odobrenog budžeta za 20</w:t>
      </w:r>
      <w:r w:rsidR="00472114">
        <w:t>20</w:t>
      </w:r>
      <w:r w:rsidRPr="008731B9">
        <w:t>.godinu, izvršena je nabavka sredstava, opreme i usluga neophodnih za rad Instituta. Nabavka je izvršena u skladu sa Zakonom o javnim nabavkama Bosne i Hercegovine.</w:t>
      </w:r>
    </w:p>
    <w:bookmarkEnd w:id="11"/>
    <w:bookmarkEnd w:id="12"/>
    <w:p w14:paraId="01C8733E" w14:textId="77777777" w:rsidR="00C42945" w:rsidRDefault="00C42945" w:rsidP="00C42945">
      <w:pPr>
        <w:ind w:right="-7"/>
        <w:jc w:val="both"/>
        <w:rPr>
          <w:bCs/>
        </w:rPr>
      </w:pPr>
    </w:p>
    <w:p w14:paraId="01F9C9E0" w14:textId="77777777" w:rsidR="00C42945" w:rsidRPr="005D538F" w:rsidRDefault="00C42945" w:rsidP="00C42945">
      <w:pPr>
        <w:ind w:right="-7"/>
        <w:jc w:val="both"/>
        <w:rPr>
          <w:bCs/>
        </w:rPr>
      </w:pPr>
      <w:r w:rsidRPr="008731B9">
        <w:rPr>
          <w:bCs/>
        </w:rPr>
        <w:t xml:space="preserve">U Tabeli je dat prikaz </w:t>
      </w:r>
      <w:r>
        <w:rPr>
          <w:bCs/>
        </w:rPr>
        <w:t xml:space="preserve">realizovanih </w:t>
      </w:r>
      <w:r w:rsidRPr="008731B9">
        <w:rPr>
          <w:bCs/>
        </w:rPr>
        <w:t>javnih nabavki</w:t>
      </w:r>
      <w:r>
        <w:rPr>
          <w:bCs/>
        </w:rPr>
        <w:t xml:space="preserve"> u 2020.godini</w:t>
      </w:r>
      <w:r w:rsidRPr="008731B9">
        <w:rPr>
          <w:bCs/>
        </w:rPr>
        <w:t>:</w:t>
      </w:r>
    </w:p>
    <w:p w14:paraId="66C23A44" w14:textId="77777777" w:rsidR="00C42945" w:rsidRPr="008731B9" w:rsidRDefault="00C42945" w:rsidP="00C42945">
      <w:pPr>
        <w:shd w:val="clear" w:color="auto" w:fill="FFFFFF"/>
        <w:jc w:val="center"/>
        <w:rPr>
          <w:b/>
          <w:sz w:val="22"/>
          <w:szCs w:val="22"/>
          <w:lang w:eastAsia="bs-Latn-BA"/>
        </w:rPr>
      </w:pP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985"/>
        <w:gridCol w:w="2126"/>
        <w:gridCol w:w="3827"/>
      </w:tblGrid>
      <w:tr w:rsidR="00C42945" w:rsidRPr="008731B9" w14:paraId="7EAF2095" w14:textId="77777777" w:rsidTr="006B5FE0">
        <w:tc>
          <w:tcPr>
            <w:tcW w:w="709" w:type="dxa"/>
            <w:shd w:val="clear" w:color="auto" w:fill="D9D9D9"/>
          </w:tcPr>
          <w:p w14:paraId="444233C4" w14:textId="77777777" w:rsidR="00C42945" w:rsidRPr="008731B9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>R/b</w:t>
            </w:r>
          </w:p>
        </w:tc>
        <w:tc>
          <w:tcPr>
            <w:tcW w:w="3686" w:type="dxa"/>
            <w:shd w:val="clear" w:color="auto" w:fill="D9D9D9"/>
          </w:tcPr>
          <w:p w14:paraId="3AC8BC12" w14:textId="77777777" w:rsidR="00C42945" w:rsidRPr="008731B9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>Predmet nabavke</w:t>
            </w:r>
          </w:p>
        </w:tc>
        <w:tc>
          <w:tcPr>
            <w:tcW w:w="1842" w:type="dxa"/>
            <w:shd w:val="clear" w:color="auto" w:fill="D9D9D9"/>
          </w:tcPr>
          <w:p w14:paraId="41E3DE86" w14:textId="77777777" w:rsidR="00C42945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 xml:space="preserve">Planirana vrijednost nabavke sa </w:t>
            </w:r>
          </w:p>
          <w:p w14:paraId="5DDC884E" w14:textId="77777777" w:rsidR="00C42945" w:rsidRPr="008731B9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>PDV-om</w:t>
            </w:r>
          </w:p>
          <w:p w14:paraId="7065F911" w14:textId="77777777" w:rsidR="00C42945" w:rsidRPr="008731B9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>(KM)</w:t>
            </w:r>
          </w:p>
        </w:tc>
        <w:tc>
          <w:tcPr>
            <w:tcW w:w="1985" w:type="dxa"/>
            <w:shd w:val="clear" w:color="auto" w:fill="D9D9D9"/>
          </w:tcPr>
          <w:p w14:paraId="1310EE20" w14:textId="77777777" w:rsidR="00C42945" w:rsidRPr="008731B9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>Vrsta postupka za dodjelu ugovora/</w:t>
            </w:r>
          </w:p>
          <w:p w14:paraId="0B8BF94D" w14:textId="77777777" w:rsidR="00C42945" w:rsidRPr="008731B9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>Okvirnog sporazuma</w:t>
            </w:r>
          </w:p>
          <w:p w14:paraId="13E7B0E1" w14:textId="77777777" w:rsidR="00C42945" w:rsidRPr="008731B9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D9D9D9"/>
          </w:tcPr>
          <w:p w14:paraId="3A795A2A" w14:textId="77777777" w:rsidR="00C42945" w:rsidRPr="008731B9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>Vrijednost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>ugovora/</w:t>
            </w:r>
          </w:p>
          <w:p w14:paraId="5C84E076" w14:textId="77777777" w:rsidR="00C42945" w:rsidRPr="008731B9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 xml:space="preserve">Okvirnog sporazuma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bez</w:t>
            </w: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 xml:space="preserve"> PDV-om</w:t>
            </w:r>
          </w:p>
          <w:p w14:paraId="70A3FB96" w14:textId="77777777" w:rsidR="00C42945" w:rsidRPr="008731B9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>(KM)</w:t>
            </w:r>
          </w:p>
        </w:tc>
        <w:tc>
          <w:tcPr>
            <w:tcW w:w="3827" w:type="dxa"/>
            <w:shd w:val="clear" w:color="auto" w:fill="D9D9D9"/>
          </w:tcPr>
          <w:p w14:paraId="5DF798D6" w14:textId="77777777" w:rsidR="00C42945" w:rsidRPr="008731B9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31B9">
              <w:rPr>
                <w:rFonts w:eastAsia="Calibri"/>
                <w:b/>
                <w:sz w:val="22"/>
                <w:szCs w:val="22"/>
                <w:lang w:eastAsia="en-US"/>
              </w:rPr>
              <w:t>Izabrani dobavljač</w:t>
            </w:r>
          </w:p>
        </w:tc>
      </w:tr>
      <w:tr w:rsidR="00C42945" w:rsidRPr="007D7AB3" w14:paraId="74F4C5BA" w14:textId="77777777" w:rsidTr="006B5FE0">
        <w:tc>
          <w:tcPr>
            <w:tcW w:w="709" w:type="dxa"/>
          </w:tcPr>
          <w:p w14:paraId="1F81E1FA" w14:textId="77777777" w:rsidR="00C42945" w:rsidRPr="007D7AB3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6" w:type="dxa"/>
          </w:tcPr>
          <w:p w14:paraId="54C6F262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Nabavka uredskog materijala za potrebe Instituta za nestale osobe Bosne i Hercegovine</w:t>
            </w:r>
          </w:p>
        </w:tc>
        <w:tc>
          <w:tcPr>
            <w:tcW w:w="1842" w:type="dxa"/>
          </w:tcPr>
          <w:p w14:paraId="6F4D8D23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8.000,00</w:t>
            </w:r>
          </w:p>
        </w:tc>
        <w:tc>
          <w:tcPr>
            <w:tcW w:w="1985" w:type="dxa"/>
          </w:tcPr>
          <w:p w14:paraId="0D2C7B5E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Konkurentski postupak</w:t>
            </w:r>
          </w:p>
        </w:tc>
        <w:tc>
          <w:tcPr>
            <w:tcW w:w="2126" w:type="dxa"/>
          </w:tcPr>
          <w:p w14:paraId="7E857E2A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4.900,00</w:t>
            </w:r>
          </w:p>
        </w:tc>
        <w:tc>
          <w:tcPr>
            <w:tcW w:w="3827" w:type="dxa"/>
          </w:tcPr>
          <w:p w14:paraId="62461A3A" w14:textId="77777777" w:rsidR="00C42945" w:rsidRPr="007D7AB3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RIS d.o.o.</w:t>
            </w:r>
          </w:p>
          <w:p w14:paraId="3668FE69" w14:textId="77777777" w:rsidR="00C42945" w:rsidRPr="007D7AB3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Sarajevo</w:t>
            </w:r>
          </w:p>
        </w:tc>
      </w:tr>
      <w:tr w:rsidR="00C42945" w:rsidRPr="007D7AB3" w14:paraId="023C90E9" w14:textId="77777777" w:rsidTr="006B5FE0">
        <w:tc>
          <w:tcPr>
            <w:tcW w:w="709" w:type="dxa"/>
          </w:tcPr>
          <w:p w14:paraId="6D526AA0" w14:textId="77777777" w:rsidR="00C42945" w:rsidRPr="007D7AB3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6" w:type="dxa"/>
          </w:tcPr>
          <w:p w14:paraId="0DD17849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 xml:space="preserve">Nabavka tonera za: printere, </w:t>
            </w:r>
            <w:proofErr w:type="spellStart"/>
            <w:r w:rsidRPr="007D7AB3">
              <w:rPr>
                <w:rFonts w:eastAsia="Calibri"/>
                <w:sz w:val="22"/>
                <w:szCs w:val="22"/>
                <w:lang w:eastAsia="en-US"/>
              </w:rPr>
              <w:t>kopir</w:t>
            </w:r>
            <w:proofErr w:type="spellEnd"/>
            <w:r w:rsidRPr="007D7AB3">
              <w:rPr>
                <w:rFonts w:eastAsia="Calibr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7D7AB3">
              <w:rPr>
                <w:rFonts w:eastAsia="Calibri"/>
                <w:sz w:val="22"/>
                <w:szCs w:val="22"/>
                <w:lang w:eastAsia="en-US"/>
              </w:rPr>
              <w:t>fax</w:t>
            </w:r>
            <w:proofErr w:type="spellEnd"/>
            <w:r w:rsidRPr="007D7AB3">
              <w:rPr>
                <w:rFonts w:eastAsia="Calibri"/>
                <w:sz w:val="22"/>
                <w:szCs w:val="22"/>
                <w:lang w:eastAsia="en-US"/>
              </w:rPr>
              <w:t xml:space="preserve"> aparate za potrebe Instituta za nestale osobe Bosne i Hercegovine</w:t>
            </w:r>
          </w:p>
        </w:tc>
        <w:tc>
          <w:tcPr>
            <w:tcW w:w="1842" w:type="dxa"/>
          </w:tcPr>
          <w:p w14:paraId="38003B3F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3.000,00</w:t>
            </w:r>
          </w:p>
        </w:tc>
        <w:tc>
          <w:tcPr>
            <w:tcW w:w="1985" w:type="dxa"/>
          </w:tcPr>
          <w:p w14:paraId="7BEDB899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Direktni sporazum</w:t>
            </w:r>
          </w:p>
        </w:tc>
        <w:tc>
          <w:tcPr>
            <w:tcW w:w="2126" w:type="dxa"/>
          </w:tcPr>
          <w:p w14:paraId="69CFC82E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2.490,00</w:t>
            </w:r>
          </w:p>
        </w:tc>
        <w:tc>
          <w:tcPr>
            <w:tcW w:w="3827" w:type="dxa"/>
          </w:tcPr>
          <w:p w14:paraId="633F7DA0" w14:textId="77777777" w:rsidR="00C42945" w:rsidRPr="007D7AB3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ŽAD RMM </w:t>
            </w:r>
            <w:r w:rsidRPr="007D7AB3">
              <w:rPr>
                <w:rFonts w:eastAsia="Calibri"/>
                <w:sz w:val="22"/>
                <w:szCs w:val="22"/>
                <w:lang w:eastAsia="en-US"/>
              </w:rPr>
              <w:t>d.o.o.</w:t>
            </w:r>
          </w:p>
          <w:p w14:paraId="15C35911" w14:textId="77777777" w:rsidR="00C42945" w:rsidRPr="007D7AB3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Kiseljak</w:t>
            </w:r>
          </w:p>
        </w:tc>
      </w:tr>
      <w:tr w:rsidR="00C42945" w:rsidRPr="007C0DF8" w14:paraId="71C13B13" w14:textId="77777777" w:rsidTr="006B5FE0">
        <w:tc>
          <w:tcPr>
            <w:tcW w:w="709" w:type="dxa"/>
          </w:tcPr>
          <w:p w14:paraId="688FE2CE" w14:textId="77777777" w:rsidR="00C42945" w:rsidRPr="007C0DF8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86" w:type="dxa"/>
          </w:tcPr>
          <w:p w14:paraId="72FCE076" w14:textId="77777777" w:rsidR="00C42945" w:rsidRPr="007C0DF8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sz w:val="22"/>
                <w:szCs w:val="22"/>
                <w:lang w:eastAsia="en-US"/>
              </w:rPr>
              <w:t>Nabavka i isporuka goriva i maziva za motorna vozila Instituta za nestale osobe Bosne i Hercegovine</w:t>
            </w:r>
          </w:p>
        </w:tc>
        <w:tc>
          <w:tcPr>
            <w:tcW w:w="1842" w:type="dxa"/>
          </w:tcPr>
          <w:p w14:paraId="6A3C07B9" w14:textId="77777777" w:rsidR="00C42945" w:rsidRPr="007C0DF8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7C0DF8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7C0DF8">
              <w:rPr>
                <w:rFonts w:eastAsia="Calibri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985" w:type="dxa"/>
          </w:tcPr>
          <w:p w14:paraId="1C0143F6" w14:textId="77777777" w:rsidR="00C42945" w:rsidRPr="007C0DF8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sz w:val="22"/>
                <w:szCs w:val="22"/>
                <w:lang w:eastAsia="en-US"/>
              </w:rPr>
              <w:t xml:space="preserve">Postupak sa objavom obavijesti </w:t>
            </w:r>
          </w:p>
        </w:tc>
        <w:tc>
          <w:tcPr>
            <w:tcW w:w="2126" w:type="dxa"/>
          </w:tcPr>
          <w:p w14:paraId="77990297" w14:textId="77777777" w:rsidR="00C42945" w:rsidRPr="007C0DF8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sz w:val="22"/>
                <w:szCs w:val="22"/>
                <w:lang w:eastAsia="en-US"/>
              </w:rPr>
              <w:t>44.912,25</w:t>
            </w:r>
          </w:p>
        </w:tc>
        <w:tc>
          <w:tcPr>
            <w:tcW w:w="3827" w:type="dxa"/>
          </w:tcPr>
          <w:p w14:paraId="44054CF9" w14:textId="77777777" w:rsidR="00C42945" w:rsidRPr="007C0DF8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C0DF8">
              <w:rPr>
                <w:rFonts w:eastAsia="Calibri"/>
                <w:sz w:val="22"/>
                <w:szCs w:val="22"/>
                <w:lang w:eastAsia="en-US"/>
              </w:rPr>
              <w:t>Hifa</w:t>
            </w:r>
            <w:proofErr w:type="spellEnd"/>
            <w:r w:rsidRPr="007C0DF8">
              <w:rPr>
                <w:rFonts w:eastAsia="Calibri"/>
                <w:sz w:val="22"/>
                <w:szCs w:val="22"/>
                <w:lang w:eastAsia="en-US"/>
              </w:rPr>
              <w:t>-Petrol  d.o.o.</w:t>
            </w:r>
          </w:p>
          <w:p w14:paraId="1A66B883" w14:textId="77777777" w:rsidR="00C42945" w:rsidRPr="007C0DF8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sz w:val="22"/>
                <w:szCs w:val="22"/>
                <w:lang w:eastAsia="en-US"/>
              </w:rPr>
              <w:t>Sarajevo</w:t>
            </w:r>
          </w:p>
        </w:tc>
      </w:tr>
      <w:tr w:rsidR="00C42945" w:rsidRPr="007C0DF8" w14:paraId="77681076" w14:textId="77777777" w:rsidTr="006B5FE0">
        <w:tc>
          <w:tcPr>
            <w:tcW w:w="709" w:type="dxa"/>
          </w:tcPr>
          <w:p w14:paraId="1D043EAB" w14:textId="77777777" w:rsidR="00C42945" w:rsidRPr="007C0DF8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6" w:type="dxa"/>
          </w:tcPr>
          <w:p w14:paraId="46E4D5DA" w14:textId="77777777" w:rsidR="00C42945" w:rsidRPr="007C0DF8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sz w:val="22"/>
                <w:szCs w:val="22"/>
                <w:lang w:eastAsia="en-US"/>
              </w:rPr>
              <w:t>Nabavka opreme za motorna vozila za potrebe Instituta za nestale osobe Bosne i Hercegovine (auto gume)</w:t>
            </w:r>
          </w:p>
        </w:tc>
        <w:tc>
          <w:tcPr>
            <w:tcW w:w="1842" w:type="dxa"/>
          </w:tcPr>
          <w:p w14:paraId="53ECDAB8" w14:textId="77777777" w:rsidR="00C42945" w:rsidRPr="007C0DF8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sz w:val="22"/>
                <w:szCs w:val="22"/>
                <w:lang w:eastAsia="en-US"/>
              </w:rPr>
              <w:t>6.000,00</w:t>
            </w:r>
          </w:p>
        </w:tc>
        <w:tc>
          <w:tcPr>
            <w:tcW w:w="1985" w:type="dxa"/>
          </w:tcPr>
          <w:p w14:paraId="408FAC78" w14:textId="77777777" w:rsidR="00C42945" w:rsidRPr="007C0DF8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sz w:val="22"/>
                <w:szCs w:val="22"/>
                <w:lang w:eastAsia="en-US"/>
              </w:rPr>
              <w:t>Direktni sporazum</w:t>
            </w:r>
          </w:p>
        </w:tc>
        <w:tc>
          <w:tcPr>
            <w:tcW w:w="2126" w:type="dxa"/>
          </w:tcPr>
          <w:p w14:paraId="62D85973" w14:textId="77777777" w:rsidR="00C42945" w:rsidRPr="007C0DF8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sz w:val="22"/>
                <w:szCs w:val="22"/>
                <w:lang w:eastAsia="en-US"/>
              </w:rPr>
              <w:t>5.</w:t>
            </w:r>
            <w:r>
              <w:rPr>
                <w:rFonts w:eastAsia="Calibri"/>
                <w:sz w:val="22"/>
                <w:szCs w:val="22"/>
                <w:lang w:eastAsia="en-US"/>
              </w:rPr>
              <w:t>043,44</w:t>
            </w:r>
          </w:p>
        </w:tc>
        <w:tc>
          <w:tcPr>
            <w:tcW w:w="3827" w:type="dxa"/>
          </w:tcPr>
          <w:p w14:paraId="20EC7329" w14:textId="77777777" w:rsidR="00C42945" w:rsidRPr="007C0DF8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C0DF8">
              <w:rPr>
                <w:rFonts w:eastAsia="Calibri"/>
                <w:sz w:val="22"/>
                <w:szCs w:val="22"/>
                <w:lang w:eastAsia="en-US"/>
              </w:rPr>
              <w:t>Unitrade</w:t>
            </w:r>
            <w:proofErr w:type="spellEnd"/>
            <w:r w:rsidRPr="007C0DF8">
              <w:rPr>
                <w:rFonts w:eastAsia="Calibri"/>
                <w:sz w:val="22"/>
                <w:szCs w:val="22"/>
                <w:lang w:eastAsia="en-US"/>
              </w:rPr>
              <w:t xml:space="preserve"> d.o.o.</w:t>
            </w:r>
          </w:p>
          <w:p w14:paraId="2A0AB254" w14:textId="77777777" w:rsidR="00C42945" w:rsidRPr="007C0DF8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0DF8">
              <w:rPr>
                <w:rFonts w:eastAsia="Calibri"/>
                <w:sz w:val="22"/>
                <w:szCs w:val="22"/>
                <w:lang w:eastAsia="en-US"/>
              </w:rPr>
              <w:t>Ljubuški</w:t>
            </w:r>
          </w:p>
        </w:tc>
      </w:tr>
      <w:tr w:rsidR="00C42945" w:rsidRPr="007D7AB3" w14:paraId="2852DAEA" w14:textId="77777777" w:rsidTr="006B5FE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4C77CD" w14:textId="77777777" w:rsidR="00C42945" w:rsidRPr="007D7AB3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7D7AB3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69CD3E9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Nabavka usluga servisiranje motornih vozila LOT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7A3C6E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11.000,00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6D16EF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 xml:space="preserve">Konkurentski postupak/Okvirni sporazum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15B9E7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5.708,22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98975C3" w14:textId="77777777" w:rsidR="00C42945" w:rsidRPr="007D7AB3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SLT d.o.o..</w:t>
            </w:r>
          </w:p>
          <w:p w14:paraId="69777F13" w14:textId="77777777" w:rsidR="00C42945" w:rsidRPr="007D7AB3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Sarajevo</w:t>
            </w:r>
          </w:p>
        </w:tc>
      </w:tr>
      <w:tr w:rsidR="00C42945" w:rsidRPr="007D7AB3" w14:paraId="40EAF3B0" w14:textId="77777777" w:rsidTr="006B5FE0">
        <w:tc>
          <w:tcPr>
            <w:tcW w:w="709" w:type="dxa"/>
            <w:tcBorders>
              <w:top w:val="single" w:sz="4" w:space="0" w:color="auto"/>
            </w:tcBorders>
          </w:tcPr>
          <w:p w14:paraId="0DA502C6" w14:textId="77777777" w:rsidR="00C42945" w:rsidRPr="007D7AB3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7D7AB3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E682F83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Nabavka usluga servisiranja motornih vozila LOT 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DF3764D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2.000,00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00E4D47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Konkurentski postupak/ Okvirni  sporazum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FB76673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2.417,94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9E21276" w14:textId="77777777" w:rsidR="00C42945" w:rsidRPr="007D7AB3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 xml:space="preserve">GUMA </w:t>
            </w:r>
            <w:r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7D7AB3">
              <w:rPr>
                <w:rFonts w:eastAsia="Calibri"/>
                <w:sz w:val="22"/>
                <w:szCs w:val="22"/>
                <w:lang w:eastAsia="en-US"/>
              </w:rPr>
              <w:t xml:space="preserve"> d.o.o. Mostar</w:t>
            </w:r>
          </w:p>
        </w:tc>
      </w:tr>
      <w:tr w:rsidR="00C42945" w:rsidRPr="007D7AB3" w14:paraId="2C24EB17" w14:textId="77777777" w:rsidTr="006B5FE0">
        <w:tc>
          <w:tcPr>
            <w:tcW w:w="709" w:type="dxa"/>
            <w:tcBorders>
              <w:top w:val="single" w:sz="4" w:space="0" w:color="auto"/>
            </w:tcBorders>
          </w:tcPr>
          <w:p w14:paraId="109370F8" w14:textId="77777777" w:rsidR="00C42945" w:rsidRPr="007D7AB3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3619F42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Nabavka usluga se</w:t>
            </w:r>
            <w:r>
              <w:rPr>
                <w:rFonts w:eastAsia="Calibri"/>
                <w:sz w:val="22"/>
                <w:szCs w:val="22"/>
                <w:lang w:eastAsia="en-US"/>
              </w:rPr>
              <w:t>rvisiranja motornih vozila LOT 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3274D30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5C91CB4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Konkurentski postupak/ Okvirni  sporazum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5EFF4E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3.814,45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A752BF9" w14:textId="77777777" w:rsidR="00C42945" w:rsidRPr="007D7AB3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BLOK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d.o.o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Sarajevo</w:t>
            </w:r>
          </w:p>
        </w:tc>
      </w:tr>
      <w:tr w:rsidR="00C42945" w:rsidRPr="007D7AB3" w14:paraId="4B16F932" w14:textId="77777777" w:rsidTr="006B5FE0">
        <w:tc>
          <w:tcPr>
            <w:tcW w:w="709" w:type="dxa"/>
          </w:tcPr>
          <w:p w14:paraId="1F5B9FF5" w14:textId="77777777" w:rsidR="00C42945" w:rsidRPr="007D7AB3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86" w:type="dxa"/>
          </w:tcPr>
          <w:p w14:paraId="1914423D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 xml:space="preserve">Usluge servisiranja i </w:t>
            </w:r>
            <w:proofErr w:type="spellStart"/>
            <w:r w:rsidRPr="007D7AB3">
              <w:rPr>
                <w:rFonts w:eastAsia="Calibri"/>
                <w:sz w:val="22"/>
                <w:szCs w:val="22"/>
                <w:lang w:eastAsia="en-US"/>
              </w:rPr>
              <w:t>održavanja</w:t>
            </w:r>
            <w:proofErr w:type="spellEnd"/>
            <w:r w:rsidRPr="007D7AB3">
              <w:rPr>
                <w:rFonts w:eastAsia="Calibri"/>
                <w:sz w:val="22"/>
                <w:szCs w:val="22"/>
                <w:lang w:eastAsia="en-US"/>
              </w:rPr>
              <w:t xml:space="preserve"> računarske opreme za potrebe  Instituta za nestale osobe Bosne i Hercegovine</w:t>
            </w:r>
          </w:p>
        </w:tc>
        <w:tc>
          <w:tcPr>
            <w:tcW w:w="1842" w:type="dxa"/>
          </w:tcPr>
          <w:p w14:paraId="393DD588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3.000,00</w:t>
            </w:r>
          </w:p>
        </w:tc>
        <w:tc>
          <w:tcPr>
            <w:tcW w:w="1985" w:type="dxa"/>
          </w:tcPr>
          <w:p w14:paraId="1435A52A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Direktni sporazum</w:t>
            </w:r>
          </w:p>
        </w:tc>
        <w:tc>
          <w:tcPr>
            <w:tcW w:w="2126" w:type="dxa"/>
          </w:tcPr>
          <w:p w14:paraId="690DFF2B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812,06</w:t>
            </w:r>
          </w:p>
          <w:p w14:paraId="5902F654" w14:textId="77777777" w:rsidR="00C42945" w:rsidRPr="007D7AB3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(norma sat)</w:t>
            </w:r>
          </w:p>
        </w:tc>
        <w:tc>
          <w:tcPr>
            <w:tcW w:w="3827" w:type="dxa"/>
          </w:tcPr>
          <w:p w14:paraId="61B0C8F5" w14:textId="77777777" w:rsidR="00C42945" w:rsidRPr="007D7AB3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FIXIT d.o.o.</w:t>
            </w:r>
          </w:p>
          <w:p w14:paraId="561A540A" w14:textId="77777777" w:rsidR="00C42945" w:rsidRPr="007D7AB3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AB3">
              <w:rPr>
                <w:rFonts w:eastAsia="Calibri"/>
                <w:sz w:val="22"/>
                <w:szCs w:val="22"/>
                <w:lang w:eastAsia="en-US"/>
              </w:rPr>
              <w:t>Sarajevo</w:t>
            </w:r>
          </w:p>
        </w:tc>
      </w:tr>
      <w:tr w:rsidR="00C42945" w:rsidRPr="00840B1D" w14:paraId="4E9F46DE" w14:textId="77777777" w:rsidTr="006B5FE0">
        <w:tc>
          <w:tcPr>
            <w:tcW w:w="709" w:type="dxa"/>
          </w:tcPr>
          <w:p w14:paraId="4B62CCC7" w14:textId="77777777" w:rsidR="00C42945" w:rsidRPr="00840B1D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40B1D">
              <w:rPr>
                <w:rFonts w:eastAsia="Calibr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686" w:type="dxa"/>
          </w:tcPr>
          <w:p w14:paraId="2856D16D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0B1D">
              <w:rPr>
                <w:rFonts w:eastAsia="Calibri"/>
                <w:sz w:val="22"/>
                <w:szCs w:val="22"/>
                <w:lang w:eastAsia="en-US"/>
              </w:rPr>
              <w:t xml:space="preserve">Usluge osiguranja motornih vozila Instituta za nestale osobe Bosne i Hercegovine (AO i </w:t>
            </w:r>
            <w:proofErr w:type="spellStart"/>
            <w:r w:rsidRPr="00840B1D">
              <w:rPr>
                <w:rFonts w:eastAsia="Calibri"/>
                <w:sz w:val="22"/>
                <w:szCs w:val="22"/>
                <w:lang w:eastAsia="en-US"/>
              </w:rPr>
              <w:t>kasko</w:t>
            </w:r>
            <w:proofErr w:type="spellEnd"/>
            <w:r w:rsidRPr="00840B1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</w:tcPr>
          <w:p w14:paraId="25AD01FD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0B1D">
              <w:rPr>
                <w:rFonts w:eastAsia="Calibri"/>
                <w:sz w:val="22"/>
                <w:szCs w:val="22"/>
                <w:lang w:eastAsia="en-US"/>
              </w:rPr>
              <w:t>20.000,00</w:t>
            </w:r>
          </w:p>
        </w:tc>
        <w:tc>
          <w:tcPr>
            <w:tcW w:w="1985" w:type="dxa"/>
          </w:tcPr>
          <w:p w14:paraId="79321402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0B1D">
              <w:rPr>
                <w:rFonts w:eastAsia="Calibri"/>
                <w:sz w:val="22"/>
                <w:szCs w:val="22"/>
                <w:lang w:eastAsia="en-US"/>
              </w:rPr>
              <w:t>Konkurentski postupak</w:t>
            </w:r>
          </w:p>
        </w:tc>
        <w:tc>
          <w:tcPr>
            <w:tcW w:w="2126" w:type="dxa"/>
          </w:tcPr>
          <w:p w14:paraId="11368D69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2.963,89</w:t>
            </w:r>
          </w:p>
        </w:tc>
        <w:tc>
          <w:tcPr>
            <w:tcW w:w="3827" w:type="dxa"/>
          </w:tcPr>
          <w:p w14:paraId="74DBB235" w14:textId="77777777" w:rsidR="00C42945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„Central  osiguranje „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d.d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2B509CE2" w14:textId="77777777" w:rsidR="00C42945" w:rsidRPr="00840B1D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Sarajevo</w:t>
            </w:r>
          </w:p>
        </w:tc>
      </w:tr>
      <w:tr w:rsidR="00C42945" w:rsidRPr="00840B1D" w14:paraId="3A258137" w14:textId="77777777" w:rsidTr="006B5FE0">
        <w:tc>
          <w:tcPr>
            <w:tcW w:w="709" w:type="dxa"/>
          </w:tcPr>
          <w:p w14:paraId="4F6E9867" w14:textId="77777777" w:rsidR="00C42945" w:rsidRPr="00840B1D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40B1D">
              <w:rPr>
                <w:rFonts w:eastAsia="Calibr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686" w:type="dxa"/>
          </w:tcPr>
          <w:p w14:paraId="60D97484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0B1D">
              <w:rPr>
                <w:rFonts w:eastAsia="Calibri"/>
                <w:sz w:val="22"/>
                <w:szCs w:val="22"/>
                <w:lang w:eastAsia="en-US"/>
              </w:rPr>
              <w:t>Usluge tehničkog pregleda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i registracija </w:t>
            </w:r>
            <w:r w:rsidRPr="00840B1D">
              <w:rPr>
                <w:rFonts w:eastAsia="Calibri"/>
                <w:sz w:val="22"/>
                <w:szCs w:val="22"/>
                <w:lang w:eastAsia="en-US"/>
              </w:rPr>
              <w:t>motornih vozila Instituta za nestale osobe Bosne i Hercegovine</w:t>
            </w:r>
          </w:p>
        </w:tc>
        <w:tc>
          <w:tcPr>
            <w:tcW w:w="1842" w:type="dxa"/>
          </w:tcPr>
          <w:p w14:paraId="1157E8A3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10.000</w:t>
            </w:r>
            <w:r w:rsidRPr="00840B1D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985" w:type="dxa"/>
          </w:tcPr>
          <w:p w14:paraId="74847247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0B1D">
              <w:rPr>
                <w:rFonts w:eastAsia="Calibri"/>
                <w:sz w:val="22"/>
                <w:szCs w:val="22"/>
                <w:lang w:eastAsia="en-US"/>
              </w:rPr>
              <w:t>Konkurentski postupak</w:t>
            </w:r>
          </w:p>
        </w:tc>
        <w:tc>
          <w:tcPr>
            <w:tcW w:w="2126" w:type="dxa"/>
          </w:tcPr>
          <w:p w14:paraId="18210F6C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506,44 </w:t>
            </w:r>
          </w:p>
        </w:tc>
        <w:tc>
          <w:tcPr>
            <w:tcW w:w="3827" w:type="dxa"/>
          </w:tcPr>
          <w:p w14:paraId="47595F00" w14:textId="77777777" w:rsidR="00C42945" w:rsidRPr="00840B1D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Ahmetspahić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-Petrol</w:t>
            </w:r>
            <w:r w:rsidRPr="00840B1D">
              <w:rPr>
                <w:rFonts w:eastAsia="Calibri"/>
                <w:sz w:val="22"/>
                <w:szCs w:val="22"/>
                <w:lang w:eastAsia="en-US"/>
              </w:rPr>
              <w:t xml:space="preserve"> d.o.o.</w:t>
            </w:r>
          </w:p>
          <w:p w14:paraId="4A9E68C1" w14:textId="77777777" w:rsidR="00C42945" w:rsidRPr="00840B1D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B1D">
              <w:rPr>
                <w:rFonts w:eastAsia="Calibri"/>
                <w:sz w:val="22"/>
                <w:szCs w:val="22"/>
                <w:lang w:eastAsia="en-US"/>
              </w:rPr>
              <w:t>Sarajevo</w:t>
            </w:r>
          </w:p>
        </w:tc>
      </w:tr>
      <w:tr w:rsidR="00C42945" w:rsidRPr="00840B1D" w14:paraId="6792513F" w14:textId="77777777" w:rsidTr="006B5FE0">
        <w:tc>
          <w:tcPr>
            <w:tcW w:w="709" w:type="dxa"/>
          </w:tcPr>
          <w:p w14:paraId="4BDAF14C" w14:textId="77777777" w:rsidR="00C42945" w:rsidRPr="00840B1D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686" w:type="dxa"/>
          </w:tcPr>
          <w:p w14:paraId="2967D40A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Nabavka  tri printera</w:t>
            </w:r>
          </w:p>
        </w:tc>
        <w:tc>
          <w:tcPr>
            <w:tcW w:w="1842" w:type="dxa"/>
          </w:tcPr>
          <w:p w14:paraId="0F3E5EE6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6CB5A2B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Direktni sporazum</w:t>
            </w:r>
          </w:p>
        </w:tc>
        <w:tc>
          <w:tcPr>
            <w:tcW w:w="2126" w:type="dxa"/>
          </w:tcPr>
          <w:p w14:paraId="224F21CD" w14:textId="77777777" w:rsidR="00C42945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3.216,00</w:t>
            </w:r>
          </w:p>
        </w:tc>
        <w:tc>
          <w:tcPr>
            <w:tcW w:w="3827" w:type="dxa"/>
          </w:tcPr>
          <w:p w14:paraId="50D08AD1" w14:textId="77777777" w:rsidR="00C42945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Fixit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d.o.o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B6A497E" w14:textId="77777777" w:rsidR="00C42945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Sarajevo</w:t>
            </w:r>
          </w:p>
        </w:tc>
      </w:tr>
      <w:tr w:rsidR="00C42945" w:rsidRPr="00840B1D" w14:paraId="010CA25F" w14:textId="77777777" w:rsidTr="006B5FE0">
        <w:tc>
          <w:tcPr>
            <w:tcW w:w="709" w:type="dxa"/>
          </w:tcPr>
          <w:p w14:paraId="7343BC12" w14:textId="77777777" w:rsidR="00C42945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686" w:type="dxa"/>
          </w:tcPr>
          <w:p w14:paraId="0892E4BF" w14:textId="77777777" w:rsidR="00C42945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Usluga preseljenja arhive, namještaja i opreme</w:t>
            </w:r>
          </w:p>
        </w:tc>
        <w:tc>
          <w:tcPr>
            <w:tcW w:w="1842" w:type="dxa"/>
          </w:tcPr>
          <w:p w14:paraId="065E1D93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6.000,00</w:t>
            </w:r>
          </w:p>
        </w:tc>
        <w:tc>
          <w:tcPr>
            <w:tcW w:w="1985" w:type="dxa"/>
          </w:tcPr>
          <w:p w14:paraId="63A14DFE" w14:textId="77777777" w:rsidR="00C42945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Direktni sporazum</w:t>
            </w:r>
          </w:p>
        </w:tc>
        <w:tc>
          <w:tcPr>
            <w:tcW w:w="2126" w:type="dxa"/>
          </w:tcPr>
          <w:p w14:paraId="3E39EEF4" w14:textId="77777777" w:rsidR="00C42945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4.950,00</w:t>
            </w:r>
          </w:p>
        </w:tc>
        <w:tc>
          <w:tcPr>
            <w:tcW w:w="3827" w:type="dxa"/>
          </w:tcPr>
          <w:p w14:paraId="4F90CCC6" w14:textId="77777777" w:rsidR="00C42945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Kristal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do.o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Sarajevo</w:t>
            </w:r>
          </w:p>
        </w:tc>
      </w:tr>
      <w:tr w:rsidR="00C42945" w:rsidRPr="00840B1D" w14:paraId="174FAC9D" w14:textId="77777777" w:rsidTr="006B5FE0">
        <w:tc>
          <w:tcPr>
            <w:tcW w:w="709" w:type="dxa"/>
          </w:tcPr>
          <w:p w14:paraId="5CBDD334" w14:textId="77777777" w:rsidR="00C42945" w:rsidRDefault="00C42945" w:rsidP="006B5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686" w:type="dxa"/>
          </w:tcPr>
          <w:p w14:paraId="795C50AC" w14:textId="77777777" w:rsidR="00C42945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Usluga čišćenja poslovnih prostorija</w:t>
            </w:r>
          </w:p>
        </w:tc>
        <w:tc>
          <w:tcPr>
            <w:tcW w:w="1842" w:type="dxa"/>
          </w:tcPr>
          <w:p w14:paraId="658FD988" w14:textId="77777777" w:rsidR="00C42945" w:rsidRPr="00840B1D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A992AC5" w14:textId="77777777" w:rsidR="00C42945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Direktni sporazum</w:t>
            </w:r>
          </w:p>
        </w:tc>
        <w:tc>
          <w:tcPr>
            <w:tcW w:w="2126" w:type="dxa"/>
          </w:tcPr>
          <w:p w14:paraId="410AA4C7" w14:textId="77777777" w:rsidR="00C42945" w:rsidRDefault="00C42945" w:rsidP="006B5F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910,02 mjesečno</w:t>
            </w:r>
          </w:p>
        </w:tc>
        <w:tc>
          <w:tcPr>
            <w:tcW w:w="3827" w:type="dxa"/>
          </w:tcPr>
          <w:p w14:paraId="50603EA2" w14:textId="77777777" w:rsidR="00C42945" w:rsidRDefault="00C42945" w:rsidP="006B5F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Sarajevo stan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do.o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Sarajevo</w:t>
            </w:r>
          </w:p>
        </w:tc>
      </w:tr>
    </w:tbl>
    <w:p w14:paraId="669DBBC1" w14:textId="77777777" w:rsidR="00C42945" w:rsidRPr="00364643" w:rsidRDefault="00C42945" w:rsidP="00C42945">
      <w:pPr>
        <w:rPr>
          <w:b/>
          <w:bCs/>
          <w:sz w:val="22"/>
          <w:szCs w:val="22"/>
        </w:rPr>
      </w:pPr>
      <w:r w:rsidRPr="00364643">
        <w:rPr>
          <w:sz w:val="22"/>
          <w:szCs w:val="22"/>
        </w:rPr>
        <w:t>Tabela</w:t>
      </w:r>
      <w:r w:rsidR="00FB7D74">
        <w:rPr>
          <w:sz w:val="22"/>
          <w:szCs w:val="22"/>
        </w:rPr>
        <w:t xml:space="preserve"> 4</w:t>
      </w:r>
      <w:r w:rsidRPr="00364643">
        <w:rPr>
          <w:sz w:val="22"/>
          <w:szCs w:val="22"/>
        </w:rPr>
        <w:t>: Prikaz izvršenih nabavki u 2020.godini</w:t>
      </w:r>
    </w:p>
    <w:p w14:paraId="4C38C835" w14:textId="77777777" w:rsidR="00C42945" w:rsidRDefault="00C42945" w:rsidP="0002756F">
      <w:pPr>
        <w:ind w:right="-7"/>
        <w:jc w:val="both"/>
        <w:rPr>
          <w:b/>
        </w:rPr>
      </w:pPr>
    </w:p>
    <w:p w14:paraId="39658514" w14:textId="77777777" w:rsidR="00C42945" w:rsidRDefault="00C42945" w:rsidP="0002756F">
      <w:pPr>
        <w:ind w:right="-7"/>
        <w:jc w:val="both"/>
        <w:rPr>
          <w:b/>
        </w:rPr>
      </w:pPr>
    </w:p>
    <w:p w14:paraId="06AF125B" w14:textId="77777777" w:rsidR="0002756F" w:rsidRPr="00277751" w:rsidRDefault="0002756F" w:rsidP="0002756F">
      <w:pPr>
        <w:ind w:right="-7"/>
        <w:jc w:val="both"/>
        <w:rPr>
          <w:b/>
        </w:rPr>
      </w:pPr>
      <w:r w:rsidRPr="00277751">
        <w:rPr>
          <w:b/>
        </w:rPr>
        <w:t>1.11. Finansijsko-knjigovodstveni poslovi i proračunska sredstva</w:t>
      </w:r>
    </w:p>
    <w:p w14:paraId="055FE87B" w14:textId="77777777" w:rsidR="0002756F" w:rsidRPr="00277751" w:rsidRDefault="0002756F" w:rsidP="0002756F">
      <w:pPr>
        <w:ind w:right="-7"/>
        <w:jc w:val="both"/>
        <w:rPr>
          <w:b/>
          <w:bCs/>
        </w:rPr>
      </w:pPr>
    </w:p>
    <w:p w14:paraId="4B666BBC" w14:textId="77777777" w:rsidR="00C9474E" w:rsidRDefault="004A022E" w:rsidP="00BA6E9C">
      <w:pPr>
        <w:jc w:val="both"/>
        <w:rPr>
          <w:bCs/>
        </w:rPr>
      </w:pPr>
      <w:r w:rsidRPr="004A022E">
        <w:rPr>
          <w:bCs/>
        </w:rPr>
        <w:t xml:space="preserve">Poslove unosa u ISFU sistem, </w:t>
      </w:r>
      <w:proofErr w:type="spellStart"/>
      <w:r w:rsidRPr="004A022E">
        <w:rPr>
          <w:bCs/>
        </w:rPr>
        <w:t>knjiženje</w:t>
      </w:r>
      <w:proofErr w:type="spellEnd"/>
      <w:r w:rsidRPr="004A022E">
        <w:rPr>
          <w:bCs/>
        </w:rPr>
        <w:t xml:space="preserve"> i plaćanje obaveza </w:t>
      </w:r>
      <w:r w:rsidR="00C9474E">
        <w:rPr>
          <w:bCs/>
        </w:rPr>
        <w:t xml:space="preserve"> u Institutu </w:t>
      </w:r>
      <w:r w:rsidRPr="004A022E">
        <w:rPr>
          <w:bCs/>
        </w:rPr>
        <w:t>obavlja Odjeljenje za materijalno-finansijsko poslovanje, uz prethodno</w:t>
      </w:r>
      <w:r>
        <w:rPr>
          <w:bCs/>
        </w:rPr>
        <w:t xml:space="preserve"> </w:t>
      </w:r>
      <w:r w:rsidRPr="004A022E">
        <w:rPr>
          <w:bCs/>
        </w:rPr>
        <w:t xml:space="preserve">izvršenu pripremu dokumentacije. Redovno se prati kretanje troškova, </w:t>
      </w:r>
      <w:proofErr w:type="spellStart"/>
      <w:r w:rsidRPr="004A022E">
        <w:rPr>
          <w:bCs/>
        </w:rPr>
        <w:t>izvršenje</w:t>
      </w:r>
      <w:proofErr w:type="spellEnd"/>
      <w:r w:rsidRPr="004A022E">
        <w:rPr>
          <w:bCs/>
        </w:rPr>
        <w:t xml:space="preserve"> budžeta i vrši planiranje za naredni period. S tim u vezi u toku</w:t>
      </w:r>
      <w:r>
        <w:rPr>
          <w:bCs/>
        </w:rPr>
        <w:t xml:space="preserve"> </w:t>
      </w:r>
      <w:r w:rsidRPr="004A022E">
        <w:rPr>
          <w:bCs/>
        </w:rPr>
        <w:t>20</w:t>
      </w:r>
      <w:r w:rsidR="00AE66DB">
        <w:rPr>
          <w:bCs/>
        </w:rPr>
        <w:t>20</w:t>
      </w:r>
      <w:r w:rsidRPr="004A022E">
        <w:rPr>
          <w:bCs/>
        </w:rPr>
        <w:t xml:space="preserve">.godine sačinjena su dva kvartalna, jedan polugodišnji i jedan završni obračun, sačinjeno je </w:t>
      </w:r>
      <w:r w:rsidR="00761450">
        <w:rPr>
          <w:bCs/>
        </w:rPr>
        <w:t>pet</w:t>
      </w:r>
      <w:r w:rsidRPr="004A022E">
        <w:rPr>
          <w:bCs/>
        </w:rPr>
        <w:t xml:space="preserve"> dinamika trošenja sredstava i </w:t>
      </w:r>
      <w:r w:rsidR="00761450">
        <w:rPr>
          <w:bCs/>
        </w:rPr>
        <w:t xml:space="preserve">jedan </w:t>
      </w:r>
      <w:r w:rsidRPr="004A022E">
        <w:rPr>
          <w:bCs/>
        </w:rPr>
        <w:t xml:space="preserve"> zahtjev za</w:t>
      </w:r>
      <w:r>
        <w:rPr>
          <w:bCs/>
        </w:rPr>
        <w:t xml:space="preserve"> </w:t>
      </w:r>
      <w:proofErr w:type="spellStart"/>
      <w:r w:rsidRPr="004A022E">
        <w:rPr>
          <w:bCs/>
        </w:rPr>
        <w:t>prestrukturiranje</w:t>
      </w:r>
      <w:proofErr w:type="spellEnd"/>
      <w:r w:rsidRPr="004A022E">
        <w:rPr>
          <w:bCs/>
        </w:rPr>
        <w:t xml:space="preserve"> sredstava.</w:t>
      </w:r>
      <w:r>
        <w:rPr>
          <w:bCs/>
        </w:rPr>
        <w:t xml:space="preserve"> </w:t>
      </w:r>
      <w:r w:rsidRPr="004A022E">
        <w:rPr>
          <w:bCs/>
        </w:rPr>
        <w:t xml:space="preserve">Osim </w:t>
      </w:r>
      <w:proofErr w:type="spellStart"/>
      <w:r w:rsidRPr="004A022E">
        <w:rPr>
          <w:bCs/>
        </w:rPr>
        <w:t>pomenutog</w:t>
      </w:r>
      <w:proofErr w:type="spellEnd"/>
      <w:r w:rsidRPr="004A022E">
        <w:rPr>
          <w:bCs/>
        </w:rPr>
        <w:t xml:space="preserve"> redovno se vrši periodično i godišnje finansijsko izvještavanje, obračun i isplata plaća za zaposlene, te naknada za ugovorene</w:t>
      </w:r>
      <w:r>
        <w:rPr>
          <w:bCs/>
        </w:rPr>
        <w:t xml:space="preserve"> </w:t>
      </w:r>
      <w:r w:rsidRPr="004A022E">
        <w:rPr>
          <w:bCs/>
        </w:rPr>
        <w:t>povremene poslove i naknade kao i obračun i isplata regresa za godišnji odmor i ostalih naknada plata.</w:t>
      </w:r>
      <w:r w:rsidR="00BA6E9C">
        <w:rPr>
          <w:bCs/>
        </w:rPr>
        <w:t xml:space="preserve"> </w:t>
      </w:r>
    </w:p>
    <w:p w14:paraId="333FD5DA" w14:textId="77777777" w:rsidR="00C9474E" w:rsidRDefault="00C9474E" w:rsidP="00BA6E9C">
      <w:pPr>
        <w:jc w:val="both"/>
        <w:rPr>
          <w:bCs/>
        </w:rPr>
      </w:pPr>
    </w:p>
    <w:p w14:paraId="32FBDBC5" w14:textId="77777777" w:rsidR="004A022E" w:rsidRPr="004A022E" w:rsidRDefault="004A022E" w:rsidP="00BA6E9C">
      <w:pPr>
        <w:jc w:val="both"/>
        <w:rPr>
          <w:bCs/>
        </w:rPr>
      </w:pPr>
      <w:r w:rsidRPr="004A022E">
        <w:rPr>
          <w:bCs/>
        </w:rPr>
        <w:t>Kroz knjigu KUF-a zaprimljeno je, proknjiženo i plaćeno 1.</w:t>
      </w:r>
      <w:r w:rsidR="00761450">
        <w:rPr>
          <w:bCs/>
        </w:rPr>
        <w:t>050</w:t>
      </w:r>
      <w:r w:rsidRPr="004A022E">
        <w:rPr>
          <w:bCs/>
        </w:rPr>
        <w:t xml:space="preserve"> dokumenata</w:t>
      </w:r>
      <w:r w:rsidR="00C9474E">
        <w:rPr>
          <w:bCs/>
        </w:rPr>
        <w:t xml:space="preserve"> te </w:t>
      </w:r>
      <w:r w:rsidRPr="004A022E">
        <w:rPr>
          <w:bCs/>
        </w:rPr>
        <w:t xml:space="preserve"> izda</w:t>
      </w:r>
      <w:r w:rsidR="00BA6E9C">
        <w:rPr>
          <w:bCs/>
        </w:rPr>
        <w:t>t</w:t>
      </w:r>
      <w:r w:rsidR="00761450">
        <w:rPr>
          <w:bCs/>
        </w:rPr>
        <w:t>a</w:t>
      </w:r>
      <w:r w:rsidRPr="004A022E">
        <w:rPr>
          <w:bCs/>
        </w:rPr>
        <w:t>, zatvor</w:t>
      </w:r>
      <w:r w:rsidR="00BA6E9C">
        <w:rPr>
          <w:bCs/>
        </w:rPr>
        <w:t>en</w:t>
      </w:r>
      <w:r w:rsidR="00761450">
        <w:rPr>
          <w:bCs/>
        </w:rPr>
        <w:t>a</w:t>
      </w:r>
      <w:r w:rsidRPr="004A022E">
        <w:rPr>
          <w:bCs/>
        </w:rPr>
        <w:t>, kontrolira</w:t>
      </w:r>
      <w:r w:rsidR="00BA6E9C">
        <w:rPr>
          <w:bCs/>
        </w:rPr>
        <w:t>n</w:t>
      </w:r>
      <w:r w:rsidR="00761450">
        <w:rPr>
          <w:bCs/>
        </w:rPr>
        <w:t>a</w:t>
      </w:r>
      <w:r w:rsidR="00BA6E9C">
        <w:rPr>
          <w:bCs/>
        </w:rPr>
        <w:t xml:space="preserve"> </w:t>
      </w:r>
      <w:r w:rsidRPr="004A022E">
        <w:rPr>
          <w:bCs/>
        </w:rPr>
        <w:t>i ispla</w:t>
      </w:r>
      <w:r w:rsidR="00BA6E9C">
        <w:rPr>
          <w:bCs/>
        </w:rPr>
        <w:t>ćen</w:t>
      </w:r>
      <w:r w:rsidR="00761450">
        <w:rPr>
          <w:bCs/>
        </w:rPr>
        <w:t>a</w:t>
      </w:r>
      <w:r w:rsidRPr="004A022E">
        <w:rPr>
          <w:bCs/>
        </w:rPr>
        <w:t xml:space="preserve"> </w:t>
      </w:r>
      <w:r w:rsidR="00761450">
        <w:rPr>
          <w:bCs/>
        </w:rPr>
        <w:t>434</w:t>
      </w:r>
      <w:r w:rsidRPr="004A022E">
        <w:rPr>
          <w:bCs/>
        </w:rPr>
        <w:t xml:space="preserve"> putna naloga.</w:t>
      </w:r>
    </w:p>
    <w:p w14:paraId="032AEAAA" w14:textId="77777777" w:rsidR="00F23587" w:rsidRDefault="00F23587" w:rsidP="004A022E">
      <w:pPr>
        <w:rPr>
          <w:bCs/>
        </w:rPr>
      </w:pPr>
    </w:p>
    <w:p w14:paraId="207923EC" w14:textId="77777777" w:rsidR="004A022E" w:rsidRPr="0052629B" w:rsidRDefault="004A022E" w:rsidP="004A022E">
      <w:pPr>
        <w:rPr>
          <w:b/>
          <w:bCs/>
          <w:u w:val="single"/>
        </w:rPr>
      </w:pPr>
      <w:r w:rsidRPr="00F23587">
        <w:rPr>
          <w:bCs/>
        </w:rPr>
        <w:t>Iznos odobrenog Proračuna za 20</w:t>
      </w:r>
      <w:r w:rsidR="00AE66DB" w:rsidRPr="00F23587">
        <w:rPr>
          <w:bCs/>
        </w:rPr>
        <w:t>20</w:t>
      </w:r>
      <w:r w:rsidRPr="00F23587">
        <w:rPr>
          <w:bCs/>
        </w:rPr>
        <w:t xml:space="preserve">.godinu je </w:t>
      </w:r>
      <w:r w:rsidR="00C9474E" w:rsidRPr="00F23587">
        <w:rPr>
          <w:bCs/>
        </w:rPr>
        <w:t xml:space="preserve">iznosio </w:t>
      </w:r>
      <w:r w:rsidR="00761450" w:rsidRPr="00F23587">
        <w:rPr>
          <w:b/>
          <w:bCs/>
        </w:rPr>
        <w:t>2.778.000</w:t>
      </w:r>
      <w:r w:rsidRPr="00F23587">
        <w:rPr>
          <w:b/>
          <w:bCs/>
        </w:rPr>
        <w:t>, 00 KM</w:t>
      </w:r>
      <w:r w:rsidRPr="00F23587">
        <w:rPr>
          <w:bCs/>
        </w:rPr>
        <w:t xml:space="preserve">, a ukupno </w:t>
      </w:r>
      <w:proofErr w:type="spellStart"/>
      <w:r w:rsidRPr="00F23587">
        <w:rPr>
          <w:bCs/>
        </w:rPr>
        <w:t>izvršenje</w:t>
      </w:r>
      <w:proofErr w:type="spellEnd"/>
      <w:r w:rsidRPr="00F23587">
        <w:rPr>
          <w:bCs/>
        </w:rPr>
        <w:t xml:space="preserve"> za 20</w:t>
      </w:r>
      <w:r w:rsidR="00B43606" w:rsidRPr="00F23587">
        <w:rPr>
          <w:bCs/>
        </w:rPr>
        <w:t>20</w:t>
      </w:r>
      <w:r w:rsidRPr="00F23587">
        <w:rPr>
          <w:bCs/>
        </w:rPr>
        <w:t xml:space="preserve">.godinu je </w:t>
      </w:r>
      <w:r w:rsidRPr="0052629B">
        <w:rPr>
          <w:b/>
          <w:bCs/>
          <w:u w:val="single"/>
        </w:rPr>
        <w:t>2.</w:t>
      </w:r>
      <w:r w:rsidR="00BA6E9C" w:rsidRPr="0052629B">
        <w:rPr>
          <w:b/>
          <w:bCs/>
          <w:u w:val="single"/>
        </w:rPr>
        <w:t>724</w:t>
      </w:r>
      <w:r w:rsidRPr="0052629B">
        <w:rPr>
          <w:b/>
          <w:bCs/>
          <w:u w:val="single"/>
        </w:rPr>
        <w:t>,</w:t>
      </w:r>
      <w:r w:rsidR="00BA6E9C" w:rsidRPr="0052629B">
        <w:rPr>
          <w:b/>
          <w:bCs/>
          <w:u w:val="single"/>
        </w:rPr>
        <w:t>3</w:t>
      </w:r>
      <w:r w:rsidRPr="0052629B">
        <w:rPr>
          <w:b/>
          <w:bCs/>
          <w:u w:val="single"/>
        </w:rPr>
        <w:t xml:space="preserve">30 KM ili </w:t>
      </w:r>
      <w:r w:rsidR="00BA6E9C" w:rsidRPr="0052629B">
        <w:rPr>
          <w:b/>
          <w:bCs/>
          <w:u w:val="single"/>
        </w:rPr>
        <w:t>90</w:t>
      </w:r>
      <w:r w:rsidRPr="0052629B">
        <w:rPr>
          <w:b/>
          <w:bCs/>
          <w:u w:val="single"/>
        </w:rPr>
        <w:t>,</w:t>
      </w:r>
      <w:r w:rsidR="00BA6E9C" w:rsidRPr="0052629B">
        <w:rPr>
          <w:b/>
          <w:bCs/>
          <w:u w:val="single"/>
        </w:rPr>
        <w:t>30</w:t>
      </w:r>
      <w:r w:rsidRPr="0052629B">
        <w:rPr>
          <w:b/>
          <w:bCs/>
          <w:u w:val="single"/>
        </w:rPr>
        <w:t>%.</w:t>
      </w:r>
    </w:p>
    <w:p w14:paraId="6263D5FF" w14:textId="77777777" w:rsidR="00840B1D" w:rsidRPr="00F23587" w:rsidRDefault="00840B1D" w:rsidP="004A022E">
      <w:pPr>
        <w:rPr>
          <w:b/>
          <w:bCs/>
        </w:rPr>
      </w:pPr>
    </w:p>
    <w:p w14:paraId="2B15907F" w14:textId="77777777" w:rsidR="00840B1D" w:rsidRPr="00F23587" w:rsidRDefault="00840B1D" w:rsidP="004A022E">
      <w:pPr>
        <w:rPr>
          <w:b/>
          <w:bCs/>
        </w:rPr>
      </w:pPr>
    </w:p>
    <w:p w14:paraId="75553173" w14:textId="77777777" w:rsidR="00C42945" w:rsidRDefault="00C42945" w:rsidP="004A022E">
      <w:pPr>
        <w:rPr>
          <w:b/>
          <w:bCs/>
          <w:u w:val="single"/>
        </w:rPr>
      </w:pPr>
    </w:p>
    <w:p w14:paraId="6056F665" w14:textId="77777777" w:rsidR="00C42945" w:rsidRDefault="00C42945" w:rsidP="004A022E">
      <w:pPr>
        <w:rPr>
          <w:b/>
          <w:bCs/>
          <w:u w:val="single"/>
        </w:rPr>
      </w:pPr>
    </w:p>
    <w:p w14:paraId="03377702" w14:textId="77777777" w:rsidR="00C42945" w:rsidRPr="00484CCD" w:rsidRDefault="00C42945" w:rsidP="004A022E">
      <w:pPr>
        <w:rPr>
          <w:b/>
          <w:bCs/>
          <w:u w:val="single"/>
        </w:rPr>
      </w:pPr>
    </w:p>
    <w:tbl>
      <w:tblPr>
        <w:tblW w:w="15446" w:type="dxa"/>
        <w:tblInd w:w="-669" w:type="dxa"/>
        <w:tblLayout w:type="fixed"/>
        <w:tblLook w:val="04A0" w:firstRow="1" w:lastRow="0" w:firstColumn="1" w:lastColumn="0" w:noHBand="0" w:noVBand="1"/>
      </w:tblPr>
      <w:tblGrid>
        <w:gridCol w:w="2932"/>
        <w:gridCol w:w="1560"/>
        <w:gridCol w:w="1559"/>
        <w:gridCol w:w="850"/>
        <w:gridCol w:w="693"/>
        <w:gridCol w:w="158"/>
        <w:gridCol w:w="822"/>
        <w:gridCol w:w="1182"/>
        <w:gridCol w:w="846"/>
        <w:gridCol w:w="845"/>
        <w:gridCol w:w="1190"/>
        <w:gridCol w:w="1210"/>
        <w:gridCol w:w="1599"/>
      </w:tblGrid>
      <w:tr w:rsidR="001D6386" w:rsidRPr="00840B1D" w14:paraId="1E1E381D" w14:textId="77777777" w:rsidTr="001D6386">
        <w:trPr>
          <w:trHeight w:val="315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33F0" w14:textId="77777777" w:rsidR="005142B5" w:rsidRPr="00840B1D" w:rsidRDefault="005142B5" w:rsidP="00857050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lastRenderedPageBreak/>
              <w:t xml:space="preserve">II </w:t>
            </w:r>
            <w:r w:rsidR="00857050" w:rsidRPr="00840B1D">
              <w:rPr>
                <w:b/>
                <w:bCs/>
                <w:sz w:val="22"/>
                <w:szCs w:val="22"/>
                <w:lang w:eastAsia="bs-Latn-BA"/>
              </w:rPr>
              <w:t>–</w:t>
            </w:r>
            <w:r w:rsidRPr="00840B1D">
              <w:rPr>
                <w:b/>
                <w:bCs/>
                <w:sz w:val="22"/>
                <w:szCs w:val="22"/>
                <w:lang w:eastAsia="bs-Latn-BA"/>
              </w:rPr>
              <w:t xml:space="preserve"> </w:t>
            </w:r>
            <w:r w:rsidR="00857050" w:rsidRPr="00840B1D">
              <w:rPr>
                <w:b/>
                <w:bCs/>
                <w:sz w:val="22"/>
                <w:szCs w:val="22"/>
                <w:lang w:eastAsia="bs-Latn-BA"/>
              </w:rPr>
              <w:t xml:space="preserve">IZVJEŠTAJ O PROVOĐENJU  AKCIONOG PLANA GODIŠNJEG PROGRAMA RADA </w:t>
            </w:r>
            <w:r w:rsidR="00CB4B85" w:rsidRPr="00840B1D">
              <w:rPr>
                <w:b/>
                <w:bCs/>
                <w:sz w:val="22"/>
                <w:szCs w:val="22"/>
                <w:lang w:eastAsia="bs-Latn-BA"/>
              </w:rPr>
              <w:t>INSTITUTA ZA NESTALE OSOBE BIH</w:t>
            </w:r>
          </w:p>
        </w:tc>
      </w:tr>
      <w:tr w:rsidR="001D6386" w:rsidRPr="00840B1D" w14:paraId="3523EA3D" w14:textId="77777777" w:rsidTr="001D6386">
        <w:trPr>
          <w:trHeight w:val="300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44F" w14:textId="77777777" w:rsidR="005142B5" w:rsidRPr="00840B1D" w:rsidRDefault="005142B5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Opći cilj/principi razvoja: Institucija ne usklađuje plan rada sa VM BiH</w:t>
            </w:r>
          </w:p>
        </w:tc>
      </w:tr>
      <w:tr w:rsidR="001D6386" w:rsidRPr="00840B1D" w14:paraId="08E0CF9B" w14:textId="77777777" w:rsidTr="001D6386">
        <w:trPr>
          <w:trHeight w:val="300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133" w14:textId="77777777" w:rsidR="005142B5" w:rsidRPr="00840B1D" w:rsidRDefault="005142B5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Strateški cilj: Ubrzati proces tranzicije i izgradnje kapaciteta</w:t>
            </w:r>
          </w:p>
        </w:tc>
      </w:tr>
      <w:tr w:rsidR="001D6386" w:rsidRPr="00840B1D" w14:paraId="30483ED8" w14:textId="77777777" w:rsidTr="001D6386">
        <w:trPr>
          <w:trHeight w:val="300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2B20" w14:textId="77777777" w:rsidR="005142B5" w:rsidRPr="00840B1D" w:rsidRDefault="005142B5" w:rsidP="001221F0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Srednjoročni cilj: Pronalazak osoba u/iz Bosne i Hercegovine nestalih u periodu od 30.04.1991. do 14.02.1996.godine</w:t>
            </w:r>
          </w:p>
        </w:tc>
      </w:tr>
      <w:tr w:rsidR="001D6386" w:rsidRPr="00840B1D" w14:paraId="32462382" w14:textId="77777777" w:rsidTr="001D6386">
        <w:trPr>
          <w:trHeight w:val="300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49A" w14:textId="77777777" w:rsidR="005142B5" w:rsidRPr="00840B1D" w:rsidRDefault="005142B5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Specifični cilj: Pronalazak osoba u/iz Bosne i Hercegovine nestalih u period</w:t>
            </w:r>
            <w:r w:rsidR="001221F0" w:rsidRPr="00840B1D">
              <w:rPr>
                <w:b/>
                <w:bCs/>
                <w:sz w:val="22"/>
                <w:szCs w:val="22"/>
                <w:lang w:eastAsia="bs-Latn-BA"/>
              </w:rPr>
              <w:t>u od 30.04.1991. do 14.02.1996.</w:t>
            </w:r>
            <w:r w:rsidRPr="00840B1D">
              <w:rPr>
                <w:b/>
                <w:bCs/>
                <w:sz w:val="22"/>
                <w:szCs w:val="22"/>
                <w:lang w:eastAsia="bs-Latn-BA"/>
              </w:rPr>
              <w:t>godine</w:t>
            </w:r>
          </w:p>
        </w:tc>
      </w:tr>
      <w:tr w:rsidR="001D6386" w:rsidRPr="00840B1D" w14:paraId="6D27AB13" w14:textId="77777777" w:rsidTr="00CE3F21">
        <w:trPr>
          <w:trHeight w:val="495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0AB7" w14:textId="77777777" w:rsidR="00857050" w:rsidRPr="00840B1D" w:rsidRDefault="00857050" w:rsidP="00857050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Programi, projekti i aktivnosti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FC2E" w14:textId="77777777" w:rsidR="00857050" w:rsidRPr="00840B1D" w:rsidRDefault="00857050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Nosilac aktivnosti</w:t>
            </w:r>
          </w:p>
          <w:p w14:paraId="2C772131" w14:textId="77777777" w:rsidR="00857050" w:rsidRPr="00840B1D" w:rsidRDefault="00857050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(organizaciona jedinica)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1C48" w14:textId="77777777" w:rsidR="00857050" w:rsidRPr="00840B1D" w:rsidRDefault="00857050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Pokazatelji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DAEF" w14:textId="77777777" w:rsidR="00857050" w:rsidRPr="00840B1D" w:rsidRDefault="00857050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 xml:space="preserve">Izvori </w:t>
            </w:r>
            <w:proofErr w:type="spellStart"/>
            <w:r w:rsidRPr="00840B1D">
              <w:rPr>
                <w:b/>
                <w:bCs/>
                <w:sz w:val="22"/>
                <w:szCs w:val="22"/>
                <w:lang w:eastAsia="bs-Latn-BA"/>
              </w:rPr>
              <w:t>finansiranja</w:t>
            </w:r>
            <w:proofErr w:type="spellEnd"/>
            <w:r w:rsidRPr="00840B1D">
              <w:rPr>
                <w:b/>
                <w:bCs/>
                <w:sz w:val="22"/>
                <w:szCs w:val="22"/>
                <w:lang w:eastAsia="bs-Latn-BA"/>
              </w:rPr>
              <w:t xml:space="preserve"> i troškovi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E880" w14:textId="77777777" w:rsidR="00857050" w:rsidRPr="00840B1D" w:rsidRDefault="00857050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Vrijeme provođenja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962FE" w14:textId="77777777" w:rsidR="00857050" w:rsidRPr="00840B1D" w:rsidRDefault="00857050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Komentar</w:t>
            </w:r>
          </w:p>
        </w:tc>
      </w:tr>
      <w:tr w:rsidR="001D6386" w:rsidRPr="00840B1D" w14:paraId="5D64C3EF" w14:textId="77777777" w:rsidTr="00CE3F21">
        <w:trPr>
          <w:cantSplit/>
          <w:trHeight w:val="2102"/>
        </w:trPr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DB09" w14:textId="77777777" w:rsidR="00857050" w:rsidRPr="00840B1D" w:rsidRDefault="00857050" w:rsidP="00857050">
            <w:pPr>
              <w:rPr>
                <w:b/>
                <w:bCs/>
                <w:sz w:val="22"/>
                <w:szCs w:val="22"/>
                <w:lang w:eastAsia="bs-Latn-B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1A7BC" w14:textId="77777777" w:rsidR="00857050" w:rsidRPr="00840B1D" w:rsidRDefault="00857050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85CAB5E" w14:textId="77777777" w:rsidR="00857050" w:rsidRPr="00840B1D" w:rsidRDefault="00857050" w:rsidP="00840B1D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Jedinica mjerenja (%, broj ili opisno)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6270758" w14:textId="77777777" w:rsidR="00857050" w:rsidRPr="00840B1D" w:rsidRDefault="00857050" w:rsidP="00CB4B85">
            <w:pPr>
              <w:ind w:left="113" w:right="113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Polazna vrijednost (n)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2519EC6" w14:textId="77777777" w:rsidR="00857050" w:rsidRPr="00840B1D" w:rsidRDefault="00857050" w:rsidP="00CB4B85">
            <w:pPr>
              <w:ind w:left="113" w:right="113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Ciljana vrijednost (n+1)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044E9AD" w14:textId="77777777" w:rsidR="00857050" w:rsidRPr="00840B1D" w:rsidRDefault="00857050" w:rsidP="00CB4B85">
            <w:pPr>
              <w:ind w:left="113" w:right="113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Ostvarena vrijednost na kraju godine (n+1)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EC539DB" w14:textId="77777777" w:rsidR="00857050" w:rsidRPr="00840B1D" w:rsidRDefault="00857050" w:rsidP="00CB4B85">
            <w:pPr>
              <w:ind w:left="113" w:right="113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 xml:space="preserve">Izvori </w:t>
            </w:r>
            <w:proofErr w:type="spellStart"/>
            <w:r w:rsidRPr="00840B1D">
              <w:rPr>
                <w:b/>
                <w:bCs/>
                <w:sz w:val="22"/>
                <w:szCs w:val="22"/>
                <w:lang w:eastAsia="bs-Latn-BA"/>
              </w:rPr>
              <w:t>finansiranja</w:t>
            </w:r>
            <w:proofErr w:type="spellEnd"/>
            <w:r w:rsidRPr="00840B1D">
              <w:rPr>
                <w:b/>
                <w:bCs/>
                <w:sz w:val="22"/>
                <w:szCs w:val="22"/>
                <w:lang w:eastAsia="bs-Latn-BA"/>
              </w:rPr>
              <w:t xml:space="preserve"> (budžet, krediti, donacije, ostalo)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F49869D" w14:textId="77777777" w:rsidR="00857050" w:rsidRPr="00840B1D" w:rsidRDefault="00857050" w:rsidP="00CB4B85">
            <w:pPr>
              <w:ind w:left="113" w:right="113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Planirani troškovi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2BE073B" w14:textId="77777777" w:rsidR="00857050" w:rsidRPr="00840B1D" w:rsidRDefault="00857050" w:rsidP="00CB4B85">
            <w:pPr>
              <w:ind w:left="113" w:right="113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Ostvareni troškovi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F28463D" w14:textId="77777777" w:rsidR="00857050" w:rsidRPr="00840B1D" w:rsidRDefault="00857050" w:rsidP="00CB4B85">
            <w:pPr>
              <w:ind w:left="113" w:right="113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Planirani kvartal za provođenje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1B69E7" w14:textId="77777777" w:rsidR="00857050" w:rsidRPr="00840B1D" w:rsidRDefault="00857050" w:rsidP="00CB4B85">
            <w:pPr>
              <w:ind w:left="113" w:right="113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Kvartal kada je  aktivnost provedena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914B" w14:textId="77777777" w:rsidR="00857050" w:rsidRPr="00840B1D" w:rsidRDefault="00857050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</w:p>
        </w:tc>
      </w:tr>
      <w:tr w:rsidR="001D6386" w:rsidRPr="00840B1D" w14:paraId="2EF33A48" w14:textId="77777777" w:rsidTr="00CE3F21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91EB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EC5D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9FB4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E6FDD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66953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5F43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331B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5B43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0BFA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7293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5BE1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7E7C" w14:textId="77777777" w:rsidR="00857050" w:rsidRPr="00840B1D" w:rsidRDefault="00CB4B85" w:rsidP="00CB4B85">
            <w:pPr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>12</w:t>
            </w:r>
          </w:p>
        </w:tc>
      </w:tr>
      <w:tr w:rsidR="001D6386" w:rsidRPr="00840B1D" w14:paraId="28FF723C" w14:textId="77777777" w:rsidTr="001D6386">
        <w:trPr>
          <w:trHeight w:val="307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B0D3" w14:textId="77777777" w:rsidR="005142B5" w:rsidRPr="00840B1D" w:rsidRDefault="005142B5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 xml:space="preserve">1.1 </w:t>
            </w:r>
            <w:r w:rsidR="00293569" w:rsidRPr="00840B1D">
              <w:rPr>
                <w:b/>
                <w:bCs/>
                <w:sz w:val="22"/>
                <w:szCs w:val="22"/>
                <w:lang w:eastAsia="bs-Latn-BA"/>
              </w:rPr>
              <w:t xml:space="preserve"> Program: </w:t>
            </w:r>
            <w:r w:rsidRPr="00840B1D">
              <w:rPr>
                <w:b/>
                <w:bCs/>
                <w:sz w:val="22"/>
                <w:szCs w:val="22"/>
                <w:lang w:eastAsia="bs-Latn-BA"/>
              </w:rPr>
              <w:t>Traženje, ekshumacija i identifikacija nestalih  osoba u/iz Bosne i Hercegovine u periodu</w:t>
            </w:r>
            <w:r w:rsidR="001221F0" w:rsidRPr="00840B1D">
              <w:rPr>
                <w:b/>
                <w:bCs/>
                <w:sz w:val="22"/>
                <w:szCs w:val="22"/>
                <w:lang w:eastAsia="bs-Latn-BA"/>
              </w:rPr>
              <w:t xml:space="preserve">  od 30.04.1991. do 14.02.1996.</w:t>
            </w:r>
            <w:r w:rsidRPr="00840B1D">
              <w:rPr>
                <w:b/>
                <w:bCs/>
                <w:sz w:val="22"/>
                <w:szCs w:val="22"/>
                <w:lang w:eastAsia="bs-Latn-BA"/>
              </w:rPr>
              <w:t>godine</w:t>
            </w:r>
          </w:p>
        </w:tc>
      </w:tr>
      <w:tr w:rsidR="001D6386" w:rsidRPr="00840B1D" w14:paraId="02466398" w14:textId="77777777" w:rsidTr="001D6386">
        <w:trPr>
          <w:trHeight w:val="329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2AA1" w14:textId="77777777" w:rsidR="005142B5" w:rsidRPr="00840B1D" w:rsidRDefault="005142B5" w:rsidP="005142B5">
            <w:pPr>
              <w:rPr>
                <w:b/>
                <w:bCs/>
                <w:sz w:val="22"/>
                <w:szCs w:val="22"/>
                <w:lang w:eastAsia="bs-Latn-BA"/>
              </w:rPr>
            </w:pPr>
            <w:r w:rsidRPr="00840B1D">
              <w:rPr>
                <w:b/>
                <w:bCs/>
                <w:sz w:val="22"/>
                <w:szCs w:val="22"/>
                <w:lang w:eastAsia="bs-Latn-BA"/>
              </w:rPr>
              <w:t xml:space="preserve">1.1.1 </w:t>
            </w:r>
            <w:r w:rsidR="008251A8" w:rsidRPr="00840B1D">
              <w:rPr>
                <w:b/>
                <w:bCs/>
                <w:sz w:val="22"/>
                <w:szCs w:val="22"/>
                <w:lang w:eastAsia="bs-Latn-BA"/>
              </w:rPr>
              <w:t>Projek</w:t>
            </w:r>
            <w:r w:rsidR="00293569" w:rsidRPr="00840B1D">
              <w:rPr>
                <w:b/>
                <w:bCs/>
                <w:sz w:val="22"/>
                <w:szCs w:val="22"/>
                <w:lang w:eastAsia="bs-Latn-BA"/>
              </w:rPr>
              <w:t xml:space="preserve">t: </w:t>
            </w:r>
            <w:r w:rsidRPr="00840B1D">
              <w:rPr>
                <w:b/>
                <w:bCs/>
                <w:sz w:val="22"/>
                <w:szCs w:val="22"/>
                <w:lang w:eastAsia="bs-Latn-BA"/>
              </w:rPr>
              <w:t>Traženje, ekshumacija i identifikacija nestalih  osoba u/iz Bosne i Hercegovine u periodu</w:t>
            </w:r>
            <w:r w:rsidR="001221F0" w:rsidRPr="00840B1D">
              <w:rPr>
                <w:b/>
                <w:bCs/>
                <w:sz w:val="22"/>
                <w:szCs w:val="22"/>
                <w:lang w:eastAsia="bs-Latn-BA"/>
              </w:rPr>
              <w:t xml:space="preserve">  od 30.04.1991. do 14.02.1996.</w:t>
            </w:r>
            <w:r w:rsidRPr="00840B1D">
              <w:rPr>
                <w:b/>
                <w:bCs/>
                <w:sz w:val="22"/>
                <w:szCs w:val="22"/>
                <w:lang w:eastAsia="bs-Latn-BA"/>
              </w:rPr>
              <w:t>godine</w:t>
            </w:r>
          </w:p>
        </w:tc>
      </w:tr>
      <w:tr w:rsidR="00F23587" w:rsidRPr="00F23587" w14:paraId="40712E4B" w14:textId="77777777" w:rsidTr="00CE3F21">
        <w:trPr>
          <w:trHeight w:val="1317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707E" w14:textId="77777777" w:rsidR="00F23587" w:rsidRDefault="00CB4B85" w:rsidP="00F23587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1.1.1.1  Aktivnost:</w:t>
            </w:r>
          </w:p>
          <w:p w14:paraId="58538D68" w14:textId="77777777" w:rsidR="00CB4B85" w:rsidRPr="00F23587" w:rsidRDefault="00CB4B85" w:rsidP="00F23587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Saradnja sa domaćim institucijama koje su uključene u proces traženja, ekshumacije i identifikacije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B463" w14:textId="77777777" w:rsidR="00434B58" w:rsidRPr="00F23587" w:rsidRDefault="00434B58" w:rsidP="005142B5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Sektor za traženj</w:t>
            </w:r>
            <w:r w:rsidR="008251A8" w:rsidRPr="00F23587">
              <w:rPr>
                <w:sz w:val="22"/>
                <w:szCs w:val="22"/>
                <w:lang w:eastAsia="bs-Latn-BA"/>
              </w:rPr>
              <w:t>e</w:t>
            </w:r>
            <w:r w:rsidRPr="00F23587">
              <w:rPr>
                <w:sz w:val="22"/>
                <w:szCs w:val="22"/>
                <w:lang w:eastAsia="bs-Latn-BA"/>
              </w:rPr>
              <w:t>, ekshumaciju i identifikaciju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F921" w14:textId="77777777" w:rsidR="00C9474E" w:rsidRPr="00F23587" w:rsidRDefault="00434B58" w:rsidP="00840B1D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Broj održanih sjednica, sastanaka, okruglih stolova i dr.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458C" w14:textId="77777777" w:rsidR="00CB4B85" w:rsidRPr="00F23587" w:rsidRDefault="00F23587" w:rsidP="00EC091E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EE8A" w14:textId="77777777" w:rsidR="00CB4B85" w:rsidRPr="00F23587" w:rsidRDefault="00F23587" w:rsidP="00F23587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0670" w14:textId="77777777" w:rsidR="00CB4B85" w:rsidRPr="00F23587" w:rsidRDefault="00F23587" w:rsidP="00F23587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9DC84" w14:textId="77777777" w:rsidR="00CB4B85" w:rsidRPr="00F23587" w:rsidRDefault="006032F0" w:rsidP="005142B5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8806" w14:textId="77777777" w:rsidR="00CB4B85" w:rsidRPr="00F23587" w:rsidRDefault="006032F0" w:rsidP="005142B5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2060" w14:textId="77777777" w:rsidR="00CB4B85" w:rsidRPr="00F23587" w:rsidRDefault="006032F0" w:rsidP="005142B5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EE6AF" w14:textId="77777777" w:rsidR="00CB4B85" w:rsidRPr="00F23587" w:rsidRDefault="002A1D93" w:rsidP="005142B5">
            <w:pPr>
              <w:rPr>
                <w:sz w:val="18"/>
                <w:szCs w:val="18"/>
                <w:lang w:eastAsia="bs-Latn-BA"/>
              </w:rPr>
            </w:pPr>
            <w:r w:rsidRPr="00F23587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78F3" w14:textId="77777777" w:rsidR="00CB4B85" w:rsidRPr="00F23587" w:rsidRDefault="002A1D93" w:rsidP="005142B5">
            <w:pPr>
              <w:rPr>
                <w:sz w:val="18"/>
                <w:szCs w:val="18"/>
                <w:lang w:eastAsia="bs-Latn-BA"/>
              </w:rPr>
            </w:pPr>
            <w:r w:rsidRPr="00F23587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BE0F704" w14:textId="77777777" w:rsidR="00CB4B85" w:rsidRPr="00F23587" w:rsidRDefault="00CB4B85" w:rsidP="005142B5">
            <w:pPr>
              <w:jc w:val="center"/>
              <w:rPr>
                <w:sz w:val="22"/>
                <w:szCs w:val="22"/>
                <w:lang w:eastAsia="bs-Latn-BA"/>
              </w:rPr>
            </w:pPr>
          </w:p>
        </w:tc>
      </w:tr>
      <w:tr w:rsidR="00F23587" w:rsidRPr="00F23587" w14:paraId="0D1E7149" w14:textId="77777777" w:rsidTr="00CE3F21">
        <w:trPr>
          <w:trHeight w:val="559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C4EB" w14:textId="77777777" w:rsidR="002A1D93" w:rsidRPr="00F23587" w:rsidRDefault="002A1D93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1.1.1.2 Aktivnost:</w:t>
            </w:r>
          </w:p>
          <w:p w14:paraId="7ED444C2" w14:textId="77777777" w:rsidR="002A1D93" w:rsidRPr="00F23587" w:rsidRDefault="002A1D93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 xml:space="preserve"> Ekshumacija i </w:t>
            </w:r>
            <w:proofErr w:type="spellStart"/>
            <w:r w:rsidRPr="00F23587">
              <w:rPr>
                <w:sz w:val="22"/>
                <w:szCs w:val="22"/>
                <w:lang w:eastAsia="bs-Latn-BA"/>
              </w:rPr>
              <w:t>asanacija</w:t>
            </w:r>
            <w:proofErr w:type="spellEnd"/>
            <w:r w:rsidRPr="00F23587">
              <w:rPr>
                <w:sz w:val="22"/>
                <w:szCs w:val="22"/>
                <w:lang w:eastAsia="bs-Latn-BA"/>
              </w:rPr>
              <w:t xml:space="preserve"> terena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BB11" w14:textId="77777777" w:rsidR="002A1D93" w:rsidRPr="00F23587" w:rsidRDefault="00434B58" w:rsidP="00434B58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Sektor za traženj</w:t>
            </w:r>
            <w:r w:rsidR="008251A8" w:rsidRPr="00F23587">
              <w:rPr>
                <w:sz w:val="22"/>
                <w:szCs w:val="22"/>
                <w:lang w:eastAsia="bs-Latn-BA"/>
              </w:rPr>
              <w:t>e</w:t>
            </w:r>
            <w:r w:rsidRPr="00F23587">
              <w:rPr>
                <w:sz w:val="22"/>
                <w:szCs w:val="22"/>
                <w:lang w:eastAsia="bs-Latn-BA"/>
              </w:rPr>
              <w:t>, ekshumaciju i identifikaciju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46EE" w14:textId="77777777" w:rsidR="00533575" w:rsidRPr="00F23587" w:rsidRDefault="00434B58" w:rsidP="00840B1D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 xml:space="preserve">Broj </w:t>
            </w:r>
            <w:proofErr w:type="spellStart"/>
            <w:r w:rsidRPr="00F23587">
              <w:rPr>
                <w:sz w:val="22"/>
                <w:szCs w:val="22"/>
                <w:lang w:eastAsia="bs-Latn-BA"/>
              </w:rPr>
              <w:t>pronađenih</w:t>
            </w:r>
            <w:proofErr w:type="spellEnd"/>
            <w:r w:rsidRPr="00F23587">
              <w:rPr>
                <w:sz w:val="22"/>
                <w:szCs w:val="22"/>
                <w:lang w:eastAsia="bs-Latn-BA"/>
              </w:rPr>
              <w:t xml:space="preserve"> tijela nestalih osoba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E471" w14:textId="77777777" w:rsidR="002A1D93" w:rsidRPr="00F23587" w:rsidRDefault="00F23587" w:rsidP="00F23587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7D92" w14:textId="77777777" w:rsidR="002A1D93" w:rsidRPr="00F23587" w:rsidRDefault="00F23587" w:rsidP="00F23587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151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1E8F" w14:textId="77777777" w:rsidR="002A1D93" w:rsidRPr="00F23587" w:rsidRDefault="00F23587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73</w:t>
            </w:r>
          </w:p>
          <w:p w14:paraId="215B2998" w14:textId="77777777" w:rsidR="002A1D93" w:rsidRPr="00F23587" w:rsidRDefault="002A1D93" w:rsidP="002A1D93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774C" w14:textId="77777777" w:rsidR="002A1D93" w:rsidRPr="00F23587" w:rsidRDefault="006032F0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7899" w14:textId="77777777" w:rsidR="002A1D93" w:rsidRPr="00F23587" w:rsidRDefault="006032F0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6531" w14:textId="77777777" w:rsidR="002A1D93" w:rsidRPr="00F23587" w:rsidRDefault="006032F0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1D9F3" w14:textId="77777777" w:rsidR="002A1D93" w:rsidRPr="00F23587" w:rsidRDefault="002A1D93" w:rsidP="002A1D93">
            <w:pPr>
              <w:rPr>
                <w:sz w:val="18"/>
                <w:szCs w:val="18"/>
              </w:rPr>
            </w:pPr>
            <w:r w:rsidRPr="00F23587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0E40" w14:textId="77777777" w:rsidR="002A1D93" w:rsidRPr="00F23587" w:rsidRDefault="002A1D93" w:rsidP="002A1D93">
            <w:pPr>
              <w:rPr>
                <w:sz w:val="18"/>
                <w:szCs w:val="18"/>
              </w:rPr>
            </w:pPr>
            <w:r w:rsidRPr="00F23587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69852" w14:textId="77777777" w:rsidR="002A1D93" w:rsidRPr="00F23587" w:rsidRDefault="002A1D93" w:rsidP="002A1D93">
            <w:pPr>
              <w:rPr>
                <w:sz w:val="22"/>
                <w:szCs w:val="22"/>
                <w:lang w:eastAsia="bs-Latn-BA"/>
              </w:rPr>
            </w:pPr>
          </w:p>
        </w:tc>
      </w:tr>
      <w:tr w:rsidR="00F23587" w:rsidRPr="00F23587" w14:paraId="5849AFE6" w14:textId="77777777" w:rsidTr="00CE3F21">
        <w:trPr>
          <w:trHeight w:val="153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BBC8" w14:textId="77777777" w:rsidR="002A1D93" w:rsidRPr="00F23587" w:rsidRDefault="002A1D93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1.1.1.3 Aktivnost:</w:t>
            </w:r>
          </w:p>
          <w:p w14:paraId="0BECE5B0" w14:textId="77777777" w:rsidR="002A1D93" w:rsidRPr="00F23587" w:rsidRDefault="002A1D93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Sudjelovanje u identifikacijama, čuvanje posmrtnih ostataka do njihove konačne predaje porodicama</w:t>
            </w:r>
          </w:p>
          <w:p w14:paraId="1A345859" w14:textId="77777777" w:rsidR="00C9474E" w:rsidRPr="00F23587" w:rsidRDefault="00C9474E" w:rsidP="002A1D93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05C7" w14:textId="77777777" w:rsidR="002A1D93" w:rsidRPr="00F23587" w:rsidRDefault="00434B58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Sektor za traženj</w:t>
            </w:r>
            <w:r w:rsidR="008251A8" w:rsidRPr="00F23587">
              <w:rPr>
                <w:sz w:val="22"/>
                <w:szCs w:val="22"/>
                <w:lang w:eastAsia="bs-Latn-BA"/>
              </w:rPr>
              <w:t>e</w:t>
            </w:r>
            <w:r w:rsidRPr="00F23587">
              <w:rPr>
                <w:sz w:val="22"/>
                <w:szCs w:val="22"/>
                <w:lang w:eastAsia="bs-Latn-BA"/>
              </w:rPr>
              <w:t>, ekshumaciju i identifikaciju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08D05" w14:textId="77777777" w:rsidR="002A1D93" w:rsidRPr="00F23587" w:rsidRDefault="00434B58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Broj identificiranih tijela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B79A" w14:textId="77777777" w:rsidR="002A1D93" w:rsidRPr="00F23587" w:rsidRDefault="00F23587" w:rsidP="00EC091E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9764" w14:textId="77777777" w:rsidR="002A1D93" w:rsidRPr="00F23587" w:rsidRDefault="00F23587" w:rsidP="00F23587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A854" w14:textId="77777777" w:rsidR="002A1D93" w:rsidRPr="00F23587" w:rsidRDefault="00F23587" w:rsidP="00F23587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85F8E" w14:textId="77777777" w:rsidR="002A1D93" w:rsidRPr="00F23587" w:rsidRDefault="006032F0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978A" w14:textId="77777777" w:rsidR="002A1D93" w:rsidRPr="00F23587" w:rsidRDefault="006032F0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5183" w14:textId="77777777" w:rsidR="002A1D93" w:rsidRPr="00F23587" w:rsidRDefault="006032F0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FA44" w14:textId="77777777" w:rsidR="002A1D93" w:rsidRPr="00F23587" w:rsidRDefault="002A1D93" w:rsidP="002A1D93">
            <w:pPr>
              <w:rPr>
                <w:sz w:val="18"/>
                <w:szCs w:val="18"/>
              </w:rPr>
            </w:pPr>
            <w:r w:rsidRPr="00F23587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B6EE" w14:textId="77777777" w:rsidR="002A1D93" w:rsidRPr="00F23587" w:rsidRDefault="002A1D93" w:rsidP="002A1D93">
            <w:pPr>
              <w:rPr>
                <w:sz w:val="18"/>
                <w:szCs w:val="18"/>
              </w:rPr>
            </w:pPr>
            <w:r w:rsidRPr="00F23587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9317" w14:textId="77777777" w:rsidR="002A1D93" w:rsidRPr="00F23587" w:rsidRDefault="002A1D93" w:rsidP="002A1D93">
            <w:pPr>
              <w:rPr>
                <w:sz w:val="22"/>
                <w:szCs w:val="22"/>
                <w:lang w:eastAsia="bs-Latn-BA"/>
              </w:rPr>
            </w:pPr>
          </w:p>
        </w:tc>
      </w:tr>
      <w:tr w:rsidR="00F23587" w:rsidRPr="00F23587" w14:paraId="08DEF349" w14:textId="77777777" w:rsidTr="00CE3F21">
        <w:trPr>
          <w:cantSplit/>
          <w:trHeight w:val="113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DC87" w14:textId="77777777" w:rsidR="002A1D93" w:rsidRPr="00F23587" w:rsidRDefault="002A1D93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lastRenderedPageBreak/>
              <w:t>1.1.1.4. Aktivnost:</w:t>
            </w:r>
          </w:p>
          <w:p w14:paraId="4931F5F1" w14:textId="77777777" w:rsidR="002A1D93" w:rsidRPr="00F23587" w:rsidRDefault="002A1D93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Broj tijela koja se čuvaju u mrtvačnicama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02A8" w14:textId="77777777" w:rsidR="002A1D93" w:rsidRPr="00F23587" w:rsidRDefault="00434B58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Sektor za traženj</w:t>
            </w:r>
            <w:r w:rsidR="008251A8" w:rsidRPr="00F23587">
              <w:rPr>
                <w:sz w:val="22"/>
                <w:szCs w:val="22"/>
                <w:lang w:eastAsia="bs-Latn-BA"/>
              </w:rPr>
              <w:t>e</w:t>
            </w:r>
            <w:r w:rsidRPr="00F23587">
              <w:rPr>
                <w:sz w:val="22"/>
                <w:szCs w:val="22"/>
                <w:lang w:eastAsia="bs-Latn-BA"/>
              </w:rPr>
              <w:t>, ekshumaciju i identifikaciju</w:t>
            </w:r>
          </w:p>
          <w:p w14:paraId="6733B448" w14:textId="77777777" w:rsidR="00C9474E" w:rsidRPr="00F23587" w:rsidRDefault="00C9474E" w:rsidP="002A1D93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81269" w14:textId="77777777" w:rsidR="002A1D93" w:rsidRPr="00F23587" w:rsidRDefault="00434B58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Broj tijela koja se čuvaju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2154" w14:textId="77777777" w:rsidR="002A1D93" w:rsidRPr="00F23587" w:rsidRDefault="00F23587" w:rsidP="00F23587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2501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95E5" w14:textId="77777777" w:rsidR="002A1D93" w:rsidRPr="00F23587" w:rsidRDefault="00F23587" w:rsidP="00F23587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2500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27C4" w14:textId="77777777" w:rsidR="002A1D93" w:rsidRPr="00F23587" w:rsidRDefault="00F23587" w:rsidP="00F23587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1653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5F2D" w14:textId="77777777" w:rsidR="002A1D93" w:rsidRPr="00F23587" w:rsidRDefault="006032F0" w:rsidP="002A1D93">
            <w:pPr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D2F412" w14:textId="77777777" w:rsidR="002A1D93" w:rsidRPr="00F23587" w:rsidRDefault="008251A8" w:rsidP="006032F0">
            <w:pPr>
              <w:ind w:left="113" w:right="113"/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600.000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EA559E" w14:textId="77777777" w:rsidR="002A1D93" w:rsidRPr="00F23587" w:rsidRDefault="008251A8" w:rsidP="006032F0">
            <w:pPr>
              <w:ind w:left="113" w:right="113"/>
              <w:rPr>
                <w:sz w:val="22"/>
                <w:szCs w:val="22"/>
                <w:lang w:eastAsia="bs-Latn-BA"/>
              </w:rPr>
            </w:pPr>
            <w:r w:rsidRPr="00F23587">
              <w:rPr>
                <w:sz w:val="22"/>
                <w:szCs w:val="22"/>
                <w:lang w:eastAsia="bs-Latn-BA"/>
              </w:rPr>
              <w:t>600.000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36AA3" w14:textId="77777777" w:rsidR="002A1D93" w:rsidRPr="00F23587" w:rsidRDefault="002A1D93" w:rsidP="002A1D93">
            <w:pPr>
              <w:rPr>
                <w:sz w:val="18"/>
                <w:szCs w:val="18"/>
              </w:rPr>
            </w:pPr>
            <w:r w:rsidRPr="00F23587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B9B1" w14:textId="77777777" w:rsidR="002A1D93" w:rsidRPr="00F23587" w:rsidRDefault="002A1D93" w:rsidP="002A1D93">
            <w:pPr>
              <w:rPr>
                <w:sz w:val="18"/>
                <w:szCs w:val="18"/>
              </w:rPr>
            </w:pPr>
            <w:r w:rsidRPr="00F23587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AA46" w14:textId="77777777" w:rsidR="002A1D93" w:rsidRPr="00F23587" w:rsidRDefault="002A1D93" w:rsidP="002A1D93">
            <w:pPr>
              <w:rPr>
                <w:sz w:val="22"/>
                <w:szCs w:val="22"/>
                <w:lang w:eastAsia="bs-Latn-BA"/>
              </w:rPr>
            </w:pPr>
          </w:p>
        </w:tc>
      </w:tr>
      <w:tr w:rsidR="00D73BB6" w:rsidRPr="00D73BB6" w14:paraId="49DE5D0E" w14:textId="77777777" w:rsidTr="00CE3F21">
        <w:trPr>
          <w:cantSplit/>
          <w:trHeight w:val="113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DF4E" w14:textId="77777777" w:rsidR="002A1D93" w:rsidRPr="00D73BB6" w:rsidRDefault="002A1D93" w:rsidP="002A1D93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1.1.1.5 . Aktivnost:</w:t>
            </w:r>
          </w:p>
          <w:p w14:paraId="50AE9E7C" w14:textId="77777777" w:rsidR="002A1D93" w:rsidRPr="00D73BB6" w:rsidRDefault="002A1D93" w:rsidP="002A1D93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Ukop posmrtnih ostataka žrtava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CB4B" w14:textId="77777777" w:rsidR="002A1D93" w:rsidRPr="00D73BB6" w:rsidRDefault="008251A8" w:rsidP="002A1D93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Sektor za opć</w:t>
            </w:r>
            <w:r w:rsidR="00434B58" w:rsidRPr="00D73BB6">
              <w:rPr>
                <w:sz w:val="22"/>
                <w:szCs w:val="22"/>
                <w:lang w:eastAsia="bs-Latn-BA"/>
              </w:rPr>
              <w:t>e, pravne i fina</w:t>
            </w:r>
            <w:r w:rsidR="00F23587">
              <w:rPr>
                <w:sz w:val="22"/>
                <w:szCs w:val="22"/>
                <w:lang w:eastAsia="bs-Latn-BA"/>
              </w:rPr>
              <w:t>n</w:t>
            </w:r>
            <w:r w:rsidR="00434B58" w:rsidRPr="00D73BB6">
              <w:rPr>
                <w:sz w:val="22"/>
                <w:szCs w:val="22"/>
                <w:lang w:eastAsia="bs-Latn-BA"/>
              </w:rPr>
              <w:t>sijske poslove</w:t>
            </w:r>
          </w:p>
          <w:p w14:paraId="443DEAB1" w14:textId="77777777" w:rsidR="00C9474E" w:rsidRPr="00D73BB6" w:rsidRDefault="00C9474E" w:rsidP="002A1D93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1581A" w14:textId="77777777" w:rsidR="002A1D93" w:rsidRPr="00D73BB6" w:rsidRDefault="00434B58" w:rsidP="002A1D93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Broj ukopa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A215" w14:textId="77777777" w:rsidR="002A1D93" w:rsidRPr="00D73BB6" w:rsidRDefault="00D73BB6" w:rsidP="00D73BB6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C1CB" w14:textId="77777777" w:rsidR="002A1D93" w:rsidRPr="00D73BB6" w:rsidRDefault="00D73BB6" w:rsidP="00D73BB6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251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4B22" w14:textId="77777777" w:rsidR="002A1D93" w:rsidRPr="00D73BB6" w:rsidRDefault="00D73BB6" w:rsidP="00D73BB6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12EA5" w14:textId="77777777" w:rsidR="002A1D93" w:rsidRPr="00D73BB6" w:rsidRDefault="006032F0" w:rsidP="002A1D93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8751E0" w14:textId="77777777" w:rsidR="002A1D93" w:rsidRPr="00D73BB6" w:rsidRDefault="00CE3F21" w:rsidP="006032F0">
            <w:pPr>
              <w:ind w:left="113" w:right="113"/>
              <w:rPr>
                <w:sz w:val="22"/>
                <w:szCs w:val="22"/>
                <w:lang w:eastAsia="bs-Latn-BA"/>
              </w:rPr>
            </w:pPr>
            <w:r>
              <w:rPr>
                <w:sz w:val="22"/>
                <w:szCs w:val="22"/>
                <w:lang w:eastAsia="bs-Latn-BA"/>
              </w:rPr>
              <w:t>2.178.000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5CC15C" w14:textId="77777777" w:rsidR="002A1D93" w:rsidRPr="00D73BB6" w:rsidRDefault="00CE3F21" w:rsidP="006032F0">
            <w:pPr>
              <w:ind w:left="113" w:right="113"/>
              <w:rPr>
                <w:sz w:val="22"/>
                <w:szCs w:val="22"/>
                <w:lang w:eastAsia="bs-Latn-BA"/>
              </w:rPr>
            </w:pPr>
            <w:r>
              <w:rPr>
                <w:sz w:val="22"/>
                <w:szCs w:val="22"/>
                <w:lang w:eastAsia="bs-Latn-BA"/>
              </w:rPr>
              <w:t>2.178.000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CF1A" w14:textId="77777777" w:rsidR="002A1D93" w:rsidRPr="00761450" w:rsidRDefault="002A1D93" w:rsidP="002A1D93">
            <w:pPr>
              <w:rPr>
                <w:sz w:val="18"/>
                <w:szCs w:val="18"/>
              </w:rPr>
            </w:pPr>
            <w:r w:rsidRPr="00761450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C267" w14:textId="77777777" w:rsidR="002A1D93" w:rsidRPr="00761450" w:rsidRDefault="002A1D93" w:rsidP="002A1D93">
            <w:pPr>
              <w:rPr>
                <w:sz w:val="18"/>
                <w:szCs w:val="18"/>
              </w:rPr>
            </w:pPr>
            <w:r w:rsidRPr="00761450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1DED4" w14:textId="77777777" w:rsidR="002A1D93" w:rsidRPr="00D73BB6" w:rsidRDefault="002A1D93" w:rsidP="002A1D93">
            <w:pPr>
              <w:rPr>
                <w:sz w:val="22"/>
                <w:szCs w:val="22"/>
                <w:lang w:eastAsia="bs-Latn-BA"/>
              </w:rPr>
            </w:pPr>
          </w:p>
        </w:tc>
      </w:tr>
      <w:tr w:rsidR="00D73BB6" w:rsidRPr="00D73BB6" w14:paraId="6FEEF9F4" w14:textId="77777777" w:rsidTr="00CE3F21">
        <w:trPr>
          <w:trHeight w:val="111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A4CD9B" w14:textId="77777777" w:rsidR="002A1D93" w:rsidRPr="00D73BB6" w:rsidRDefault="002A1D93" w:rsidP="002A1D93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 xml:space="preserve">1.1.1.6.Aktivnost: </w:t>
            </w:r>
          </w:p>
          <w:p w14:paraId="3770A640" w14:textId="77777777" w:rsidR="002A1D93" w:rsidRPr="00D73BB6" w:rsidRDefault="002A1D93" w:rsidP="002A1D93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Unapređenje efikasnosti  i kvaliteta u procesu  ažuriranja i verifikacije CEN-a</w:t>
            </w:r>
          </w:p>
          <w:p w14:paraId="77A6B14D" w14:textId="77777777" w:rsidR="00C9474E" w:rsidRPr="00D73BB6" w:rsidRDefault="00C9474E" w:rsidP="002A1D93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BED3" w14:textId="77777777" w:rsidR="002A1D93" w:rsidRPr="00D73BB6" w:rsidRDefault="00434B58" w:rsidP="002A1D93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Sektor CEN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17534" w14:textId="77777777" w:rsidR="002A1D93" w:rsidRPr="00D73BB6" w:rsidRDefault="00434B58" w:rsidP="002A1D93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Broj verificiranih prijava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097C" w14:textId="77777777" w:rsidR="002A1D93" w:rsidRPr="00D73BB6" w:rsidRDefault="00D73BB6" w:rsidP="00D73BB6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1500</w:t>
            </w:r>
            <w:r w:rsidR="00322D29" w:rsidRPr="00D73BB6">
              <w:rPr>
                <w:sz w:val="22"/>
                <w:szCs w:val="22"/>
                <w:lang w:eastAsia="bs-Latn-BA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995D" w14:textId="77777777" w:rsidR="002A1D93" w:rsidRPr="00D73BB6" w:rsidRDefault="00D73BB6" w:rsidP="00D73BB6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1501</w:t>
            </w:r>
            <w:r w:rsidR="00322D29" w:rsidRPr="00D73BB6">
              <w:rPr>
                <w:sz w:val="22"/>
                <w:szCs w:val="22"/>
                <w:lang w:eastAsia="bs-Latn-BA"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4AEB" w14:textId="77777777" w:rsidR="002A1D93" w:rsidRPr="00D73BB6" w:rsidRDefault="00D73BB6" w:rsidP="00D73BB6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1</w:t>
            </w:r>
            <w:r w:rsidR="00537EE1" w:rsidRPr="00D73BB6">
              <w:rPr>
                <w:sz w:val="22"/>
                <w:szCs w:val="22"/>
                <w:lang w:eastAsia="bs-Latn-BA"/>
              </w:rPr>
              <w:t>000</w:t>
            </w:r>
            <w:r w:rsidR="00322D29" w:rsidRPr="00D73BB6">
              <w:rPr>
                <w:sz w:val="22"/>
                <w:szCs w:val="22"/>
                <w:lang w:eastAsia="bs-Latn-BA"/>
              </w:rPr>
              <w:t>*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8F3D0" w14:textId="77777777" w:rsidR="002A1D93" w:rsidRPr="00D73BB6" w:rsidRDefault="006032F0" w:rsidP="002A1D93">
            <w:pPr>
              <w:jc w:val="center"/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9E2F40" w14:textId="77777777" w:rsidR="002A1D93" w:rsidRPr="00D73BB6" w:rsidRDefault="006032F0" w:rsidP="002A1D93">
            <w:pPr>
              <w:jc w:val="center"/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87AF67" w14:textId="77777777" w:rsidR="002A1D93" w:rsidRPr="00D73BB6" w:rsidRDefault="006032F0" w:rsidP="002A1D93">
            <w:pPr>
              <w:jc w:val="center"/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1260AD5B" w14:textId="77777777" w:rsidR="002A1D93" w:rsidRPr="00761450" w:rsidRDefault="002A1D93" w:rsidP="002A1D93">
            <w:pPr>
              <w:rPr>
                <w:sz w:val="18"/>
                <w:szCs w:val="18"/>
              </w:rPr>
            </w:pPr>
            <w:r w:rsidRPr="00761450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1E7329C" w14:textId="77777777" w:rsidR="002A1D93" w:rsidRPr="00761450" w:rsidRDefault="002A1D93" w:rsidP="002A1D93">
            <w:pPr>
              <w:rPr>
                <w:sz w:val="18"/>
                <w:szCs w:val="18"/>
              </w:rPr>
            </w:pPr>
            <w:r w:rsidRPr="00761450">
              <w:rPr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D4724" w14:textId="77777777" w:rsidR="002A1D93" w:rsidRPr="00D73BB6" w:rsidRDefault="002A1D93" w:rsidP="002A1D93">
            <w:pPr>
              <w:rPr>
                <w:sz w:val="22"/>
                <w:szCs w:val="22"/>
                <w:lang w:eastAsia="bs-Latn-BA"/>
              </w:rPr>
            </w:pPr>
          </w:p>
        </w:tc>
      </w:tr>
      <w:tr w:rsidR="00D73BB6" w:rsidRPr="00D73BB6" w14:paraId="1DAD228D" w14:textId="77777777" w:rsidTr="00CE3F21">
        <w:trPr>
          <w:trHeight w:val="784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80997" w14:textId="77777777" w:rsidR="000E271D" w:rsidRPr="00D73BB6" w:rsidRDefault="000E271D" w:rsidP="000E271D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1.1.1.6.1.</w:t>
            </w:r>
          </w:p>
          <w:p w14:paraId="6F94BABF" w14:textId="77777777" w:rsidR="000E271D" w:rsidRPr="00D73BB6" w:rsidRDefault="000E271D" w:rsidP="000E271D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Provjera, upoređivanje i verifikacija podataka</w:t>
            </w:r>
          </w:p>
          <w:p w14:paraId="37CD29DF" w14:textId="77777777" w:rsidR="00C9474E" w:rsidRPr="00D73BB6" w:rsidRDefault="00C9474E" w:rsidP="000E271D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2CD9" w14:textId="77777777" w:rsidR="000E271D" w:rsidRPr="00D73BB6" w:rsidRDefault="00434B58" w:rsidP="000E271D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Sektor CEN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5CB2" w14:textId="77777777" w:rsidR="000E271D" w:rsidRPr="00D73BB6" w:rsidRDefault="00434B58" w:rsidP="000E271D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Broj verificiranih prijava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E6AA" w14:textId="77777777" w:rsidR="000E271D" w:rsidRPr="00D73BB6" w:rsidRDefault="00D73BB6" w:rsidP="00D73BB6">
            <w:pPr>
              <w:rPr>
                <w:sz w:val="22"/>
                <w:szCs w:val="22"/>
              </w:rPr>
            </w:pPr>
            <w:r w:rsidRPr="00D73BB6">
              <w:rPr>
                <w:sz w:val="22"/>
                <w:szCs w:val="22"/>
              </w:rPr>
              <w:t>1500</w:t>
            </w:r>
            <w:r w:rsidR="00322D29" w:rsidRPr="00D73BB6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E4F8" w14:textId="77777777" w:rsidR="000E271D" w:rsidRPr="00D73BB6" w:rsidRDefault="00D73BB6" w:rsidP="00D73BB6">
            <w:pPr>
              <w:rPr>
                <w:sz w:val="22"/>
                <w:szCs w:val="22"/>
              </w:rPr>
            </w:pPr>
            <w:r w:rsidRPr="00D73BB6">
              <w:rPr>
                <w:sz w:val="22"/>
                <w:szCs w:val="22"/>
              </w:rPr>
              <w:t>1501</w:t>
            </w:r>
            <w:r w:rsidR="00322D29" w:rsidRPr="00D73BB6">
              <w:rPr>
                <w:sz w:val="22"/>
                <w:szCs w:val="22"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D670" w14:textId="77777777" w:rsidR="000E271D" w:rsidRPr="00D73BB6" w:rsidRDefault="00D73BB6" w:rsidP="000E271D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1</w:t>
            </w:r>
            <w:r w:rsidR="00537EE1" w:rsidRPr="00D73BB6">
              <w:rPr>
                <w:sz w:val="22"/>
                <w:szCs w:val="22"/>
                <w:lang w:eastAsia="bs-Latn-BA"/>
              </w:rPr>
              <w:t>000</w:t>
            </w:r>
            <w:r w:rsidR="00322D29" w:rsidRPr="00D73BB6">
              <w:rPr>
                <w:sz w:val="22"/>
                <w:szCs w:val="22"/>
                <w:lang w:eastAsia="bs-Latn-BA"/>
              </w:rPr>
              <w:t>*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14015" w14:textId="77777777" w:rsidR="000E271D" w:rsidRPr="00D73BB6" w:rsidRDefault="000E271D" w:rsidP="000E271D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444B7" w14:textId="77777777" w:rsidR="000E271D" w:rsidRPr="00D73BB6" w:rsidRDefault="000E271D" w:rsidP="000E271D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CE736" w14:textId="77777777" w:rsidR="000E271D" w:rsidRPr="00D73BB6" w:rsidRDefault="000E271D" w:rsidP="000E271D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EEE70" w14:textId="77777777" w:rsidR="000E271D" w:rsidRPr="00D73BB6" w:rsidRDefault="000E271D" w:rsidP="000E271D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E2724" w14:textId="77777777" w:rsidR="000E271D" w:rsidRPr="00D73BB6" w:rsidRDefault="000E271D" w:rsidP="000E271D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04B7F" w14:textId="77777777" w:rsidR="000E271D" w:rsidRPr="00D73BB6" w:rsidRDefault="000E271D" w:rsidP="000E271D">
            <w:pPr>
              <w:rPr>
                <w:sz w:val="22"/>
                <w:szCs w:val="22"/>
                <w:lang w:eastAsia="bs-Latn-BA"/>
              </w:rPr>
            </w:pPr>
          </w:p>
        </w:tc>
      </w:tr>
      <w:tr w:rsidR="00D73BB6" w:rsidRPr="00D73BB6" w14:paraId="59BFB1B9" w14:textId="77777777" w:rsidTr="00CE3F21">
        <w:trPr>
          <w:trHeight w:val="813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345C7" w14:textId="77777777" w:rsidR="00F23587" w:rsidRDefault="00CB4B85" w:rsidP="005142B5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1.1.1.6.2</w:t>
            </w:r>
          </w:p>
          <w:p w14:paraId="7C68B2DD" w14:textId="77777777" w:rsidR="00CB4B85" w:rsidRPr="00D73BB6" w:rsidRDefault="00CB4B85" w:rsidP="005142B5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Sistemsko  ažuriranje  verificiranih  podataka</w:t>
            </w:r>
          </w:p>
          <w:p w14:paraId="57A2C4BD" w14:textId="77777777" w:rsidR="00C9474E" w:rsidRPr="00D73BB6" w:rsidRDefault="00C9474E" w:rsidP="005142B5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7BA0" w14:textId="77777777" w:rsidR="00CB4B85" w:rsidRPr="00D73BB6" w:rsidRDefault="00434B58" w:rsidP="005142B5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Sektor CEN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D715B" w14:textId="77777777" w:rsidR="00CB4B85" w:rsidRPr="00D73BB6" w:rsidRDefault="00434B58" w:rsidP="005142B5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Broj verificiranih prijava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8DCC" w14:textId="77777777" w:rsidR="00CB4B85" w:rsidRPr="00D73BB6" w:rsidRDefault="00D73BB6" w:rsidP="00D73BB6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1500*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8780" w14:textId="77777777" w:rsidR="00CB4B85" w:rsidRPr="00D73BB6" w:rsidRDefault="00D73BB6" w:rsidP="00D73BB6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1501*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22C6" w14:textId="77777777" w:rsidR="00CB4B85" w:rsidRPr="00D73BB6" w:rsidRDefault="00D73BB6" w:rsidP="00D73BB6">
            <w:pPr>
              <w:rPr>
                <w:sz w:val="22"/>
                <w:szCs w:val="22"/>
                <w:lang w:eastAsia="bs-Latn-BA"/>
              </w:rPr>
            </w:pPr>
            <w:r w:rsidRPr="00D73BB6">
              <w:rPr>
                <w:sz w:val="22"/>
                <w:szCs w:val="22"/>
                <w:lang w:eastAsia="bs-Latn-BA"/>
              </w:rPr>
              <w:t>1</w:t>
            </w:r>
            <w:r w:rsidR="00537EE1" w:rsidRPr="00D73BB6">
              <w:rPr>
                <w:sz w:val="22"/>
                <w:szCs w:val="22"/>
                <w:lang w:eastAsia="bs-Latn-BA"/>
              </w:rPr>
              <w:t>000</w:t>
            </w:r>
            <w:r w:rsidR="00322D29" w:rsidRPr="00D73BB6">
              <w:rPr>
                <w:sz w:val="22"/>
                <w:szCs w:val="22"/>
                <w:lang w:eastAsia="bs-Latn-BA"/>
              </w:rPr>
              <w:t>*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7E7A4" w14:textId="77777777" w:rsidR="00CB4B85" w:rsidRPr="00D73BB6" w:rsidRDefault="00CB4B85" w:rsidP="005142B5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E2CA8" w14:textId="77777777" w:rsidR="00CB4B85" w:rsidRPr="00D73BB6" w:rsidRDefault="00CB4B85" w:rsidP="005142B5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41E12" w14:textId="77777777" w:rsidR="00CB4B85" w:rsidRPr="00D73BB6" w:rsidRDefault="00CB4B85" w:rsidP="005142B5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7335" w14:textId="77777777" w:rsidR="00CB4B85" w:rsidRPr="00D73BB6" w:rsidRDefault="00CB4B85" w:rsidP="005142B5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A637D" w14:textId="77777777" w:rsidR="00CB4B85" w:rsidRPr="00D73BB6" w:rsidRDefault="00CB4B85" w:rsidP="005142B5">
            <w:pPr>
              <w:rPr>
                <w:sz w:val="22"/>
                <w:szCs w:val="22"/>
                <w:lang w:eastAsia="bs-Latn-BA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784D5" w14:textId="77777777" w:rsidR="00CB4B85" w:rsidRPr="00D73BB6" w:rsidRDefault="00CB4B85" w:rsidP="005142B5">
            <w:pPr>
              <w:rPr>
                <w:sz w:val="22"/>
                <w:szCs w:val="22"/>
                <w:lang w:eastAsia="bs-Latn-BA"/>
              </w:rPr>
            </w:pPr>
          </w:p>
        </w:tc>
      </w:tr>
    </w:tbl>
    <w:p w14:paraId="2A11F7F3" w14:textId="77777777" w:rsidR="00F57B1A" w:rsidRPr="00CE3F21" w:rsidRDefault="00F57B1A" w:rsidP="009B615A">
      <w:pPr>
        <w:rPr>
          <w:sz w:val="22"/>
          <w:szCs w:val="22"/>
        </w:rPr>
      </w:pPr>
    </w:p>
    <w:p w14:paraId="0E61F4C8" w14:textId="77777777" w:rsidR="0063108E" w:rsidRPr="00CE3F21" w:rsidRDefault="006032F0" w:rsidP="006032F0">
      <w:pPr>
        <w:ind w:left="-709"/>
        <w:rPr>
          <w:sz w:val="22"/>
          <w:szCs w:val="22"/>
          <w:u w:val="single"/>
        </w:rPr>
      </w:pPr>
      <w:r w:rsidRPr="00CE3F21">
        <w:rPr>
          <w:sz w:val="22"/>
          <w:szCs w:val="22"/>
          <w:u w:val="single"/>
        </w:rPr>
        <w:t>NAPOMENA</w:t>
      </w:r>
      <w:r w:rsidR="00322D29" w:rsidRPr="00CE3F21">
        <w:rPr>
          <w:sz w:val="22"/>
          <w:szCs w:val="22"/>
          <w:u w:val="single"/>
        </w:rPr>
        <w:t xml:space="preserve"> I</w:t>
      </w:r>
      <w:r w:rsidRPr="00CE3F21">
        <w:rPr>
          <w:sz w:val="22"/>
          <w:szCs w:val="22"/>
          <w:u w:val="single"/>
        </w:rPr>
        <w:t>: Iznos odobrenog  budžeta za 20</w:t>
      </w:r>
      <w:r w:rsidR="00AE66DB" w:rsidRPr="00CE3F21">
        <w:rPr>
          <w:sz w:val="22"/>
          <w:szCs w:val="22"/>
          <w:u w:val="single"/>
        </w:rPr>
        <w:t>20</w:t>
      </w:r>
      <w:r w:rsidR="00E84B3A" w:rsidRPr="00CE3F21">
        <w:rPr>
          <w:sz w:val="22"/>
          <w:szCs w:val="22"/>
          <w:u w:val="single"/>
        </w:rPr>
        <w:t>.</w:t>
      </w:r>
      <w:r w:rsidRPr="00CE3F21">
        <w:rPr>
          <w:sz w:val="22"/>
          <w:szCs w:val="22"/>
          <w:u w:val="single"/>
        </w:rPr>
        <w:t xml:space="preserve">godinu  je iznosio </w:t>
      </w:r>
      <w:r w:rsidR="00761450" w:rsidRPr="00CE3F21">
        <w:rPr>
          <w:sz w:val="22"/>
          <w:szCs w:val="22"/>
          <w:u w:val="single"/>
        </w:rPr>
        <w:t>2</w:t>
      </w:r>
      <w:r w:rsidRPr="00CE3F21">
        <w:rPr>
          <w:sz w:val="22"/>
          <w:szCs w:val="22"/>
          <w:u w:val="single"/>
        </w:rPr>
        <w:t>.</w:t>
      </w:r>
      <w:r w:rsidR="00761450" w:rsidRPr="00CE3F21">
        <w:rPr>
          <w:sz w:val="22"/>
          <w:szCs w:val="22"/>
          <w:u w:val="single"/>
        </w:rPr>
        <w:t>778</w:t>
      </w:r>
      <w:r w:rsidR="00C5248A" w:rsidRPr="00CE3F21">
        <w:rPr>
          <w:sz w:val="22"/>
          <w:szCs w:val="22"/>
          <w:u w:val="single"/>
        </w:rPr>
        <w:t xml:space="preserve">.000 KM, a ukupno </w:t>
      </w:r>
      <w:proofErr w:type="spellStart"/>
      <w:r w:rsidR="00C5248A" w:rsidRPr="00CE3F21">
        <w:rPr>
          <w:sz w:val="22"/>
          <w:szCs w:val="22"/>
          <w:u w:val="single"/>
        </w:rPr>
        <w:t>izvršenje</w:t>
      </w:r>
      <w:proofErr w:type="spellEnd"/>
      <w:r w:rsidR="00C5248A" w:rsidRPr="00CE3F21">
        <w:rPr>
          <w:sz w:val="22"/>
          <w:szCs w:val="22"/>
          <w:u w:val="single"/>
        </w:rPr>
        <w:t xml:space="preserve"> za 20</w:t>
      </w:r>
      <w:r w:rsidR="00AE66DB" w:rsidRPr="00CE3F21">
        <w:rPr>
          <w:sz w:val="22"/>
          <w:szCs w:val="22"/>
          <w:u w:val="single"/>
        </w:rPr>
        <w:t>20</w:t>
      </w:r>
      <w:r w:rsidR="00C5248A" w:rsidRPr="00CE3F21">
        <w:rPr>
          <w:sz w:val="22"/>
          <w:szCs w:val="22"/>
          <w:u w:val="single"/>
        </w:rPr>
        <w:t>.godinu je 2.</w:t>
      </w:r>
      <w:r w:rsidR="00DF2B04" w:rsidRPr="00CE3F21">
        <w:rPr>
          <w:sz w:val="22"/>
          <w:szCs w:val="22"/>
          <w:u w:val="single"/>
        </w:rPr>
        <w:t>724</w:t>
      </w:r>
      <w:r w:rsidR="00C5248A" w:rsidRPr="00CE3F21">
        <w:rPr>
          <w:sz w:val="22"/>
          <w:szCs w:val="22"/>
          <w:u w:val="single"/>
        </w:rPr>
        <w:t>,</w:t>
      </w:r>
      <w:r w:rsidR="00DF2B04" w:rsidRPr="00CE3F21">
        <w:rPr>
          <w:sz w:val="22"/>
          <w:szCs w:val="22"/>
          <w:u w:val="single"/>
        </w:rPr>
        <w:t>3</w:t>
      </w:r>
      <w:r w:rsidR="00C5248A" w:rsidRPr="00CE3F21">
        <w:rPr>
          <w:sz w:val="22"/>
          <w:szCs w:val="22"/>
          <w:u w:val="single"/>
        </w:rPr>
        <w:t xml:space="preserve">30 KM ili </w:t>
      </w:r>
      <w:r w:rsidR="00DF2B04" w:rsidRPr="00CE3F21">
        <w:rPr>
          <w:sz w:val="22"/>
          <w:szCs w:val="22"/>
          <w:u w:val="single"/>
        </w:rPr>
        <w:t>90</w:t>
      </w:r>
      <w:r w:rsidR="00C5248A" w:rsidRPr="00CE3F21">
        <w:rPr>
          <w:sz w:val="22"/>
          <w:szCs w:val="22"/>
          <w:u w:val="single"/>
        </w:rPr>
        <w:t>,</w:t>
      </w:r>
      <w:r w:rsidR="00DF2B04" w:rsidRPr="00CE3F21">
        <w:rPr>
          <w:sz w:val="22"/>
          <w:szCs w:val="22"/>
          <w:u w:val="single"/>
        </w:rPr>
        <w:t>30</w:t>
      </w:r>
      <w:r w:rsidR="00C5248A" w:rsidRPr="00CE3F21">
        <w:rPr>
          <w:sz w:val="22"/>
          <w:szCs w:val="22"/>
          <w:u w:val="single"/>
        </w:rPr>
        <w:t>%.</w:t>
      </w:r>
    </w:p>
    <w:p w14:paraId="5EF8456A" w14:textId="77777777" w:rsidR="00322D29" w:rsidRPr="00CE3F21" w:rsidRDefault="00322D29" w:rsidP="006032F0">
      <w:pPr>
        <w:ind w:left="-709"/>
        <w:rPr>
          <w:sz w:val="22"/>
          <w:szCs w:val="22"/>
          <w:u w:val="single"/>
          <w:shd w:val="clear" w:color="auto" w:fill="FFFFFF"/>
        </w:rPr>
      </w:pPr>
      <w:r w:rsidRPr="00CE3F21">
        <w:rPr>
          <w:sz w:val="22"/>
          <w:szCs w:val="22"/>
          <w:u w:val="single"/>
        </w:rPr>
        <w:t xml:space="preserve">NAPOMENA  II: </w:t>
      </w:r>
      <w:r w:rsidRPr="00CE3F21">
        <w:rPr>
          <w:sz w:val="22"/>
          <w:szCs w:val="22"/>
          <w:u w:val="single"/>
          <w:shd w:val="clear" w:color="auto" w:fill="FFFFFF"/>
        </w:rPr>
        <w:t xml:space="preserve">Podaci koji su označeni zvjezdicom* </w:t>
      </w:r>
      <w:r w:rsidR="008251A8" w:rsidRPr="00CE3F21">
        <w:rPr>
          <w:sz w:val="22"/>
          <w:szCs w:val="22"/>
          <w:u w:val="single"/>
          <w:shd w:val="clear" w:color="auto" w:fill="FFFFFF"/>
        </w:rPr>
        <w:t>, a tič</w:t>
      </w:r>
      <w:r w:rsidRPr="00CE3F21">
        <w:rPr>
          <w:sz w:val="22"/>
          <w:szCs w:val="22"/>
          <w:u w:val="single"/>
          <w:shd w:val="clear" w:color="auto" w:fill="FFFFFF"/>
        </w:rPr>
        <w:t xml:space="preserve">u se rada Sektora CEN, predstavljaju jedinstven proces koji se ne može </w:t>
      </w:r>
      <w:proofErr w:type="spellStart"/>
      <w:r w:rsidRPr="00CE3F21">
        <w:rPr>
          <w:sz w:val="22"/>
          <w:szCs w:val="22"/>
          <w:u w:val="single"/>
          <w:shd w:val="clear" w:color="auto" w:fill="FFFFFF"/>
        </w:rPr>
        <w:t>posmatrati</w:t>
      </w:r>
      <w:proofErr w:type="spellEnd"/>
      <w:r w:rsidRPr="00CE3F21">
        <w:rPr>
          <w:sz w:val="22"/>
          <w:szCs w:val="22"/>
          <w:u w:val="single"/>
          <w:shd w:val="clear" w:color="auto" w:fill="FFFFFF"/>
        </w:rPr>
        <w:t xml:space="preserve"> odvojeno  odnosno  na istom broju slučajeva provedeno je  više različitih aktivnosti.</w:t>
      </w:r>
    </w:p>
    <w:tbl>
      <w:tblPr>
        <w:tblW w:w="16327" w:type="dxa"/>
        <w:tblInd w:w="-1139" w:type="dxa"/>
        <w:tblLook w:val="04A0" w:firstRow="1" w:lastRow="0" w:firstColumn="1" w:lastColumn="0" w:noHBand="0" w:noVBand="1"/>
      </w:tblPr>
      <w:tblGrid>
        <w:gridCol w:w="295"/>
        <w:gridCol w:w="4899"/>
        <w:gridCol w:w="1376"/>
        <w:gridCol w:w="1459"/>
        <w:gridCol w:w="1510"/>
        <w:gridCol w:w="1497"/>
        <w:gridCol w:w="1134"/>
        <w:gridCol w:w="1123"/>
        <w:gridCol w:w="2622"/>
        <w:gridCol w:w="412"/>
      </w:tblGrid>
      <w:tr w:rsidR="007442CC" w:rsidRPr="00CE3F21" w14:paraId="14322C7E" w14:textId="77777777" w:rsidTr="00287818">
        <w:tc>
          <w:tcPr>
            <w:tcW w:w="16327" w:type="dxa"/>
            <w:gridSpan w:val="10"/>
          </w:tcPr>
          <w:p w14:paraId="758BEC84" w14:textId="77777777" w:rsidR="00DF2B04" w:rsidRPr="00CE3F21" w:rsidRDefault="00DF2B04" w:rsidP="00DF2B04"/>
          <w:p w14:paraId="13FD6B35" w14:textId="77777777" w:rsidR="00840B1D" w:rsidRPr="00CE3F21" w:rsidRDefault="00840B1D" w:rsidP="00DF2B04"/>
          <w:p w14:paraId="7C068F6A" w14:textId="77777777" w:rsidR="00840B1D" w:rsidRPr="00CE3F21" w:rsidRDefault="00840B1D" w:rsidP="00DF2B04"/>
          <w:p w14:paraId="22B8DA6F" w14:textId="77777777" w:rsidR="00840B1D" w:rsidRPr="00CE3F21" w:rsidRDefault="00840B1D" w:rsidP="00DF2B04"/>
          <w:p w14:paraId="28A090CB" w14:textId="77777777" w:rsidR="00840B1D" w:rsidRPr="00CE3F21" w:rsidRDefault="00840B1D" w:rsidP="00DF2B04"/>
          <w:p w14:paraId="32DF85A0" w14:textId="77777777" w:rsidR="00840B1D" w:rsidRPr="00CE3F21" w:rsidRDefault="00840B1D" w:rsidP="00DF2B04"/>
          <w:p w14:paraId="441628B6" w14:textId="77777777" w:rsidR="00840B1D" w:rsidRPr="00CE3F21" w:rsidRDefault="00840B1D" w:rsidP="00DF2B04"/>
          <w:p w14:paraId="2124A2F0" w14:textId="77777777" w:rsidR="00840B1D" w:rsidRPr="00CE3F21" w:rsidRDefault="00840B1D" w:rsidP="00DF2B04"/>
          <w:p w14:paraId="158B9C58" w14:textId="77777777" w:rsidR="00840B1D" w:rsidRPr="00CE3F21" w:rsidRDefault="00840B1D" w:rsidP="00DF2B04"/>
          <w:p w14:paraId="27F99691" w14:textId="77777777" w:rsidR="00F23587" w:rsidRPr="00CE3F21" w:rsidRDefault="00F23587" w:rsidP="00DF2B04"/>
          <w:p w14:paraId="2D11EDCD" w14:textId="77777777" w:rsidR="00F23587" w:rsidRPr="00CE3F21" w:rsidRDefault="00F23587" w:rsidP="00DF2B04"/>
          <w:p w14:paraId="23DCA2FF" w14:textId="77777777" w:rsidR="00F23587" w:rsidRPr="00CE3F21" w:rsidRDefault="00F23587" w:rsidP="00DF2B04"/>
          <w:p w14:paraId="6265DC16" w14:textId="77777777" w:rsidR="00840B1D" w:rsidRPr="00CE3F21" w:rsidRDefault="00840B1D" w:rsidP="00DF2B04"/>
          <w:p w14:paraId="78B934D2" w14:textId="77777777" w:rsidR="00840B1D" w:rsidRPr="00CE3F21" w:rsidRDefault="00840B1D" w:rsidP="00DF2B04"/>
          <w:tbl>
            <w:tblPr>
              <w:tblW w:w="15593" w:type="dxa"/>
              <w:tblInd w:w="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7"/>
              <w:gridCol w:w="1860"/>
              <w:gridCol w:w="1589"/>
              <w:gridCol w:w="1703"/>
              <w:gridCol w:w="1570"/>
              <w:gridCol w:w="1469"/>
              <w:gridCol w:w="1835"/>
              <w:gridCol w:w="1270"/>
            </w:tblGrid>
            <w:tr w:rsidR="00DF2B04" w:rsidRPr="00CE3F21" w14:paraId="7A812B65" w14:textId="77777777" w:rsidTr="00DF2B04">
              <w:tc>
                <w:tcPr>
                  <w:tcW w:w="15593" w:type="dxa"/>
                  <w:gridSpan w:val="8"/>
                </w:tcPr>
                <w:p w14:paraId="742C4DA7" w14:textId="77777777" w:rsidR="00287818" w:rsidRPr="00CE3F21" w:rsidRDefault="00DF2B04" w:rsidP="00287818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 xml:space="preserve">III – IZVJEŠTAJ O IZRAĐENIM ZAKONIMA PLANIRANIH GODIŠNJIM PROGRAMOM RADA  </w:t>
                  </w:r>
                </w:p>
                <w:p w14:paraId="62ABF920" w14:textId="77777777" w:rsidR="00DF2B04" w:rsidRPr="00CE3F21" w:rsidRDefault="00DF2B04" w:rsidP="00287818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 xml:space="preserve">INSTITUTA ZA NESTALE OSOBE BOSNE I HERCEGOVINE </w:t>
                  </w:r>
                </w:p>
              </w:tc>
            </w:tr>
            <w:tr w:rsidR="00DF2B04" w:rsidRPr="00CE3F21" w14:paraId="41AEAA99" w14:textId="77777777" w:rsidTr="00DF2B04">
              <w:tc>
                <w:tcPr>
                  <w:tcW w:w="15593" w:type="dxa"/>
                  <w:gridSpan w:val="8"/>
                </w:tcPr>
                <w:p w14:paraId="486ABBAD" w14:textId="77777777" w:rsidR="00DF2B04" w:rsidRPr="00CE3F21" w:rsidRDefault="00DF2B04" w:rsidP="00DF2B04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Opći cilj/ princip razvoja: Institucija ne usklađuje plan rada sa VM BiH</w:t>
                  </w:r>
                </w:p>
              </w:tc>
            </w:tr>
            <w:tr w:rsidR="00DF2B04" w:rsidRPr="00CE3F21" w14:paraId="21BEEC3F" w14:textId="77777777" w:rsidTr="00DF2B04">
              <w:tc>
                <w:tcPr>
                  <w:tcW w:w="15593" w:type="dxa"/>
                  <w:gridSpan w:val="8"/>
                </w:tcPr>
                <w:p w14:paraId="64D385BF" w14:textId="77777777" w:rsidR="00DF2B04" w:rsidRPr="00CE3F21" w:rsidRDefault="00DF2B04" w:rsidP="00DF2B04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Strateški cilj: Ubrzati proces tranzicije i izgradnje kapaciteta</w:t>
                  </w:r>
                </w:p>
              </w:tc>
            </w:tr>
            <w:tr w:rsidR="00DF2B04" w:rsidRPr="00CE3F21" w14:paraId="4413F0C6" w14:textId="77777777" w:rsidTr="00DF2B04">
              <w:tc>
                <w:tcPr>
                  <w:tcW w:w="15593" w:type="dxa"/>
                  <w:gridSpan w:val="8"/>
                </w:tcPr>
                <w:p w14:paraId="3479EA07" w14:textId="77777777" w:rsidR="00DF2B04" w:rsidRPr="00CE3F21" w:rsidRDefault="00DF2B04" w:rsidP="00DF2B04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Srednjoročni cilj: Pronalazak osoba u/iz Bosne i Hercegovine nestalih u periodu od 30.04.1991. do 14.02.1996.godine</w:t>
                  </w:r>
                </w:p>
              </w:tc>
            </w:tr>
            <w:tr w:rsidR="00DF2B04" w:rsidRPr="00CE3F21" w14:paraId="05F2AF94" w14:textId="77777777" w:rsidTr="00DF2B04">
              <w:tc>
                <w:tcPr>
                  <w:tcW w:w="15593" w:type="dxa"/>
                  <w:gridSpan w:val="8"/>
                </w:tcPr>
                <w:p w14:paraId="4C08BACA" w14:textId="77777777" w:rsidR="00DF2B04" w:rsidRPr="00CE3F21" w:rsidRDefault="00DF2B04" w:rsidP="00DF2B04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Specifični cilj: Pronalazak osoba u/iz Bosne i Hercegovine nestalih u periodu od 30.04.1991. do 14.02.1996.godine</w:t>
                  </w:r>
                </w:p>
              </w:tc>
            </w:tr>
            <w:tr w:rsidR="00287818" w:rsidRPr="00CE3F21" w14:paraId="4E2422D5" w14:textId="77777777" w:rsidTr="00C42945">
              <w:trPr>
                <w:trHeight w:val="621"/>
              </w:trPr>
              <w:tc>
                <w:tcPr>
                  <w:tcW w:w="4406" w:type="dxa"/>
                  <w:vMerge w:val="restart"/>
                </w:tcPr>
                <w:p w14:paraId="4A466C39" w14:textId="77777777" w:rsidR="00DF2B04" w:rsidRPr="00CE3F21" w:rsidRDefault="00DF2B04" w:rsidP="00287818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 xml:space="preserve">Naziv </w:t>
                  </w:r>
                  <w:r w:rsidR="00287818" w:rsidRPr="00CE3F21">
                    <w:rPr>
                      <w:b/>
                    </w:rPr>
                    <w:t>zakona</w:t>
                  </w:r>
                </w:p>
              </w:tc>
              <w:tc>
                <w:tcPr>
                  <w:tcW w:w="3475" w:type="dxa"/>
                  <w:gridSpan w:val="2"/>
                </w:tcPr>
                <w:p w14:paraId="0AB2AE09" w14:textId="77777777" w:rsidR="00DF2B04" w:rsidRPr="00CE3F21" w:rsidRDefault="00DF2B04" w:rsidP="00DF2B04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Vrijeme provođenja</w:t>
                  </w:r>
                </w:p>
              </w:tc>
              <w:tc>
                <w:tcPr>
                  <w:tcW w:w="6530" w:type="dxa"/>
                  <w:gridSpan w:val="4"/>
                </w:tcPr>
                <w:p w14:paraId="03CB5542" w14:textId="77777777" w:rsidR="00DF2B04" w:rsidRPr="00CE3F21" w:rsidRDefault="00DF2B04" w:rsidP="00F23587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 xml:space="preserve">Status </w:t>
                  </w:r>
                  <w:r w:rsidR="00287818" w:rsidRPr="00CE3F21">
                    <w:rPr>
                      <w:b/>
                    </w:rPr>
                    <w:t>zakona</w:t>
                  </w:r>
                  <w:r w:rsidRPr="00CE3F21">
                    <w:rPr>
                      <w:b/>
                    </w:rPr>
                    <w:t xml:space="preserve"> zaključno sa 31.12.</w:t>
                  </w:r>
                  <w:r w:rsidR="00F23587" w:rsidRPr="00CE3F21">
                    <w:rPr>
                      <w:b/>
                    </w:rPr>
                    <w:t>---</w:t>
                  </w:r>
                  <w:r w:rsidRPr="00CE3F21">
                    <w:rPr>
                      <w:b/>
                    </w:rPr>
                    <w:t>.godine</w:t>
                  </w:r>
                </w:p>
              </w:tc>
              <w:tc>
                <w:tcPr>
                  <w:tcW w:w="1182" w:type="dxa"/>
                  <w:vMerge w:val="restart"/>
                </w:tcPr>
                <w:p w14:paraId="2A926B1E" w14:textId="77777777" w:rsidR="00DF2B04" w:rsidRPr="00CE3F21" w:rsidRDefault="00DF2B04" w:rsidP="00DF2B04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Komentar</w:t>
                  </w:r>
                </w:p>
              </w:tc>
            </w:tr>
            <w:tr w:rsidR="00287818" w:rsidRPr="00CE3F21" w14:paraId="05716663" w14:textId="77777777" w:rsidTr="00C42945">
              <w:trPr>
                <w:trHeight w:val="1046"/>
              </w:trPr>
              <w:tc>
                <w:tcPr>
                  <w:tcW w:w="4406" w:type="dxa"/>
                  <w:vMerge/>
                </w:tcPr>
                <w:p w14:paraId="5B59236A" w14:textId="77777777" w:rsidR="00DF2B04" w:rsidRPr="00CE3F21" w:rsidRDefault="00DF2B04" w:rsidP="00DF2B04">
                  <w:pPr>
                    <w:rPr>
                      <w:b/>
                    </w:rPr>
                  </w:pPr>
                </w:p>
              </w:tc>
              <w:tc>
                <w:tcPr>
                  <w:tcW w:w="1876" w:type="dxa"/>
                </w:tcPr>
                <w:p w14:paraId="05B071C7" w14:textId="77777777" w:rsidR="00DF2B04" w:rsidRPr="00CE3F21" w:rsidRDefault="00DF2B04" w:rsidP="00DF2B04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Planirani  kvartal za provođenje aktivnosti</w:t>
                  </w:r>
                </w:p>
              </w:tc>
              <w:tc>
                <w:tcPr>
                  <w:tcW w:w="1599" w:type="dxa"/>
                </w:tcPr>
                <w:p w14:paraId="5D0991B8" w14:textId="77777777" w:rsidR="00DF2B04" w:rsidRPr="00CE3F21" w:rsidRDefault="00DF2B04" w:rsidP="00DF2B04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Kvartal kada je aktivnost provedena</w:t>
                  </w:r>
                </w:p>
              </w:tc>
              <w:tc>
                <w:tcPr>
                  <w:tcW w:w="1722" w:type="dxa"/>
                </w:tcPr>
                <w:p w14:paraId="5328230C" w14:textId="77777777" w:rsidR="00287818" w:rsidRPr="00CE3F21" w:rsidRDefault="00DF2B04" w:rsidP="00287818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Upućen</w:t>
                  </w:r>
                </w:p>
                <w:p w14:paraId="45D57015" w14:textId="77777777" w:rsidR="00287818" w:rsidRPr="00CE3F21" w:rsidRDefault="00287818" w:rsidP="00287818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VM BiH</w:t>
                  </w:r>
                </w:p>
                <w:p w14:paraId="28399E9C" w14:textId="77777777" w:rsidR="00DF2B04" w:rsidRPr="00CE3F21" w:rsidRDefault="00DF2B04" w:rsidP="00287818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 xml:space="preserve"> (DA/NE)</w:t>
                  </w:r>
                </w:p>
              </w:tc>
              <w:tc>
                <w:tcPr>
                  <w:tcW w:w="1585" w:type="dxa"/>
                </w:tcPr>
                <w:p w14:paraId="45869D5D" w14:textId="77777777" w:rsidR="00DF2B04" w:rsidRPr="00CE3F21" w:rsidRDefault="00DF2B04" w:rsidP="00287818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 xml:space="preserve">Usvojen </w:t>
                  </w:r>
                  <w:r w:rsidR="00287818" w:rsidRPr="00CE3F21">
                    <w:rPr>
                      <w:b/>
                    </w:rPr>
                    <w:t>na  VM BiH</w:t>
                  </w:r>
                  <w:r w:rsidRPr="00CE3F21">
                    <w:rPr>
                      <w:b/>
                    </w:rPr>
                    <w:t xml:space="preserve"> (DA/NE)</w:t>
                  </w:r>
                </w:p>
              </w:tc>
              <w:tc>
                <w:tcPr>
                  <w:tcW w:w="1365" w:type="dxa"/>
                </w:tcPr>
                <w:p w14:paraId="584FD8B1" w14:textId="77777777" w:rsidR="00DF2B04" w:rsidRPr="00CE3F21" w:rsidRDefault="00DF2B04" w:rsidP="00DF2B04">
                  <w:pPr>
                    <w:rPr>
                      <w:b/>
                    </w:rPr>
                  </w:pPr>
                  <w:proofErr w:type="spellStart"/>
                  <w:r w:rsidRPr="00CE3F21">
                    <w:rPr>
                      <w:b/>
                    </w:rPr>
                    <w:t>U</w:t>
                  </w:r>
                  <w:r w:rsidR="00287818" w:rsidRPr="00CE3F21">
                    <w:rPr>
                      <w:b/>
                    </w:rPr>
                    <w:t>Procedura</w:t>
                  </w:r>
                  <w:proofErr w:type="spellEnd"/>
                  <w:r w:rsidR="00287818" w:rsidRPr="00CE3F21">
                    <w:rPr>
                      <w:b/>
                    </w:rPr>
                    <w:t xml:space="preserve"> u PS BiH</w:t>
                  </w:r>
                </w:p>
                <w:p w14:paraId="0A38EB53" w14:textId="77777777" w:rsidR="00DF2B04" w:rsidRPr="00CE3F21" w:rsidRDefault="00DF2B04" w:rsidP="00DF2B04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(DA/NE)</w:t>
                  </w:r>
                </w:p>
              </w:tc>
              <w:tc>
                <w:tcPr>
                  <w:tcW w:w="1858" w:type="dxa"/>
                </w:tcPr>
                <w:p w14:paraId="44A88DA5" w14:textId="77777777" w:rsidR="00287818" w:rsidRPr="00CE3F21" w:rsidRDefault="00DF2B04" w:rsidP="00287818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 xml:space="preserve">Usvojen </w:t>
                  </w:r>
                  <w:r w:rsidR="00287818" w:rsidRPr="00CE3F21">
                    <w:rPr>
                      <w:b/>
                    </w:rPr>
                    <w:t>u</w:t>
                  </w:r>
                </w:p>
                <w:p w14:paraId="114EB927" w14:textId="77777777" w:rsidR="00287818" w:rsidRPr="00CE3F21" w:rsidRDefault="00287818" w:rsidP="00287818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 xml:space="preserve"> PS BiH</w:t>
                  </w:r>
                </w:p>
                <w:p w14:paraId="1421C837" w14:textId="77777777" w:rsidR="00DF2B04" w:rsidRPr="00CE3F21" w:rsidRDefault="00DF2B04" w:rsidP="00287818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(DA/NE)</w:t>
                  </w:r>
                </w:p>
              </w:tc>
              <w:tc>
                <w:tcPr>
                  <w:tcW w:w="1182" w:type="dxa"/>
                  <w:vMerge/>
                </w:tcPr>
                <w:p w14:paraId="6F0A9E8C" w14:textId="77777777" w:rsidR="00DF2B04" w:rsidRPr="00CE3F21" w:rsidRDefault="00DF2B04" w:rsidP="00DF2B04">
                  <w:pPr>
                    <w:rPr>
                      <w:b/>
                    </w:rPr>
                  </w:pPr>
                </w:p>
              </w:tc>
            </w:tr>
            <w:tr w:rsidR="00287818" w:rsidRPr="00CE3F21" w14:paraId="527BBAD6" w14:textId="77777777" w:rsidTr="00C42945">
              <w:trPr>
                <w:trHeight w:val="225"/>
              </w:trPr>
              <w:tc>
                <w:tcPr>
                  <w:tcW w:w="4406" w:type="dxa"/>
                </w:tcPr>
                <w:p w14:paraId="6A718B73" w14:textId="77777777" w:rsidR="00DF2B04" w:rsidRPr="00CE3F21" w:rsidRDefault="00DF2B04" w:rsidP="00DF2B04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1</w:t>
                  </w:r>
                </w:p>
              </w:tc>
              <w:tc>
                <w:tcPr>
                  <w:tcW w:w="1876" w:type="dxa"/>
                </w:tcPr>
                <w:p w14:paraId="20FFB06B" w14:textId="77777777" w:rsidR="00DF2B04" w:rsidRPr="00CE3F21" w:rsidRDefault="00DF2B04" w:rsidP="00DF2B04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2</w:t>
                  </w:r>
                </w:p>
              </w:tc>
              <w:tc>
                <w:tcPr>
                  <w:tcW w:w="1599" w:type="dxa"/>
                </w:tcPr>
                <w:p w14:paraId="0C1FB318" w14:textId="77777777" w:rsidR="00DF2B04" w:rsidRPr="00CE3F21" w:rsidRDefault="00DF2B04" w:rsidP="00DF2B04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3</w:t>
                  </w:r>
                </w:p>
              </w:tc>
              <w:tc>
                <w:tcPr>
                  <w:tcW w:w="1722" w:type="dxa"/>
                </w:tcPr>
                <w:p w14:paraId="3726585E" w14:textId="77777777" w:rsidR="00DF2B04" w:rsidRPr="00CE3F21" w:rsidRDefault="00DF2B04" w:rsidP="00DF2B04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4</w:t>
                  </w:r>
                </w:p>
              </w:tc>
              <w:tc>
                <w:tcPr>
                  <w:tcW w:w="1585" w:type="dxa"/>
                </w:tcPr>
                <w:p w14:paraId="5518CDE9" w14:textId="77777777" w:rsidR="00DF2B04" w:rsidRPr="00CE3F21" w:rsidRDefault="00DF2B04" w:rsidP="00DF2B04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5</w:t>
                  </w:r>
                </w:p>
              </w:tc>
              <w:tc>
                <w:tcPr>
                  <w:tcW w:w="1365" w:type="dxa"/>
                </w:tcPr>
                <w:p w14:paraId="33A05397" w14:textId="77777777" w:rsidR="00DF2B04" w:rsidRPr="00CE3F21" w:rsidRDefault="00DF2B04" w:rsidP="00DF2B04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6</w:t>
                  </w:r>
                </w:p>
              </w:tc>
              <w:tc>
                <w:tcPr>
                  <w:tcW w:w="1858" w:type="dxa"/>
                </w:tcPr>
                <w:p w14:paraId="28B38992" w14:textId="77777777" w:rsidR="00DF2B04" w:rsidRPr="00CE3F21" w:rsidRDefault="00DF2B04" w:rsidP="00DF2B04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7</w:t>
                  </w:r>
                </w:p>
              </w:tc>
              <w:tc>
                <w:tcPr>
                  <w:tcW w:w="1182" w:type="dxa"/>
                </w:tcPr>
                <w:p w14:paraId="0AB164FB" w14:textId="77777777" w:rsidR="00DF2B04" w:rsidRPr="00CE3F21" w:rsidRDefault="00DF2B04" w:rsidP="00DF2B04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8</w:t>
                  </w:r>
                </w:p>
              </w:tc>
            </w:tr>
          </w:tbl>
          <w:tbl>
            <w:tblPr>
              <w:tblStyle w:val="TableGrid"/>
              <w:tblW w:w="15593" w:type="dxa"/>
              <w:tblInd w:w="179" w:type="dxa"/>
              <w:tblLook w:val="04A0" w:firstRow="1" w:lastRow="0" w:firstColumn="1" w:lastColumn="0" w:noHBand="0" w:noVBand="1"/>
            </w:tblPr>
            <w:tblGrid>
              <w:gridCol w:w="4395"/>
              <w:gridCol w:w="1843"/>
              <w:gridCol w:w="1559"/>
              <w:gridCol w:w="1701"/>
              <w:gridCol w:w="1559"/>
              <w:gridCol w:w="1418"/>
              <w:gridCol w:w="1843"/>
              <w:gridCol w:w="1275"/>
            </w:tblGrid>
            <w:tr w:rsidR="00287818" w:rsidRPr="00CE3F21" w14:paraId="09FB0A35" w14:textId="77777777" w:rsidTr="00287818">
              <w:tc>
                <w:tcPr>
                  <w:tcW w:w="15593" w:type="dxa"/>
                  <w:gridSpan w:val="8"/>
                </w:tcPr>
                <w:p w14:paraId="6FBB92C9" w14:textId="77777777" w:rsidR="00287818" w:rsidRPr="00CE3F21" w:rsidRDefault="00287818" w:rsidP="00287818">
                  <w:r w:rsidRPr="00CE3F21">
                    <w:t>1.1.(naziv programa)</w:t>
                  </w:r>
                </w:p>
              </w:tc>
            </w:tr>
            <w:tr w:rsidR="00287818" w:rsidRPr="00CE3F21" w14:paraId="2221A0C4" w14:textId="77777777" w:rsidTr="00287818">
              <w:tc>
                <w:tcPr>
                  <w:tcW w:w="15593" w:type="dxa"/>
                  <w:gridSpan w:val="8"/>
                </w:tcPr>
                <w:p w14:paraId="7EC336FE" w14:textId="77777777" w:rsidR="00287818" w:rsidRPr="00CE3F21" w:rsidRDefault="00287818" w:rsidP="00287818">
                  <w:r w:rsidRPr="00CE3F21">
                    <w:t>1.1.1.(naziv projekta)</w:t>
                  </w:r>
                </w:p>
              </w:tc>
            </w:tr>
            <w:tr w:rsidR="00287818" w:rsidRPr="00CE3F21" w14:paraId="3E32FA4B" w14:textId="77777777" w:rsidTr="00287818">
              <w:tc>
                <w:tcPr>
                  <w:tcW w:w="4395" w:type="dxa"/>
                </w:tcPr>
                <w:p w14:paraId="7F2147A8" w14:textId="77777777" w:rsidR="00287818" w:rsidRPr="00CE3F21" w:rsidRDefault="00287818" w:rsidP="00287818">
                  <w:pPr>
                    <w:pStyle w:val="ListParagraph"/>
                    <w:numPr>
                      <w:ilvl w:val="3"/>
                      <w:numId w:val="27"/>
                    </w:numPr>
                  </w:pPr>
                  <w:r w:rsidRPr="00CE3F21">
                    <w:t>(naziv zakona)</w:t>
                  </w:r>
                </w:p>
              </w:tc>
              <w:tc>
                <w:tcPr>
                  <w:tcW w:w="1843" w:type="dxa"/>
                </w:tcPr>
                <w:p w14:paraId="3AC6EAAC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14:paraId="7C259F06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4A52A184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14:paraId="5F0B1400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14:paraId="470B360A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843" w:type="dxa"/>
                </w:tcPr>
                <w:p w14:paraId="14250902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14:paraId="6BD7505D" w14:textId="77777777" w:rsidR="00287818" w:rsidRPr="00CE3F21" w:rsidRDefault="00287818" w:rsidP="00287818">
                  <w:pPr>
                    <w:jc w:val="center"/>
                  </w:pPr>
                </w:p>
              </w:tc>
            </w:tr>
            <w:tr w:rsidR="00287818" w:rsidRPr="00CE3F21" w14:paraId="1ABEBCE1" w14:textId="77777777" w:rsidTr="00287818">
              <w:tc>
                <w:tcPr>
                  <w:tcW w:w="4395" w:type="dxa"/>
                </w:tcPr>
                <w:p w14:paraId="44B8E87C" w14:textId="77777777" w:rsidR="00287818" w:rsidRPr="00CE3F21" w:rsidRDefault="00287818" w:rsidP="00287818">
                  <w:pPr>
                    <w:pStyle w:val="ListParagraph"/>
                    <w:numPr>
                      <w:ilvl w:val="3"/>
                      <w:numId w:val="27"/>
                    </w:numPr>
                  </w:pPr>
                  <w:r w:rsidRPr="00CE3F21">
                    <w:t>(naziv zakona)</w:t>
                  </w:r>
                </w:p>
              </w:tc>
              <w:tc>
                <w:tcPr>
                  <w:tcW w:w="1843" w:type="dxa"/>
                </w:tcPr>
                <w:p w14:paraId="04BBC3B4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14:paraId="324F7E06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2EA27769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14:paraId="29CBB8B5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14:paraId="0779CF20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843" w:type="dxa"/>
                </w:tcPr>
                <w:p w14:paraId="670BAA28" w14:textId="77777777" w:rsidR="00287818" w:rsidRPr="00CE3F21" w:rsidRDefault="00287818" w:rsidP="00287818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14:paraId="458BAED3" w14:textId="77777777" w:rsidR="00287818" w:rsidRPr="00CE3F21" w:rsidRDefault="00287818" w:rsidP="00287818">
                  <w:pPr>
                    <w:jc w:val="center"/>
                  </w:pPr>
                </w:p>
              </w:tc>
            </w:tr>
          </w:tbl>
          <w:p w14:paraId="2260D09E" w14:textId="77777777" w:rsidR="00CE3F21" w:rsidRDefault="00CE3F21" w:rsidP="00840B1D">
            <w:pPr>
              <w:ind w:left="184"/>
            </w:pPr>
          </w:p>
          <w:p w14:paraId="772FFECF" w14:textId="77777777" w:rsidR="00DF2B04" w:rsidRPr="00CE3F21" w:rsidRDefault="00287818" w:rsidP="00840B1D">
            <w:pPr>
              <w:ind w:left="184"/>
            </w:pPr>
            <w:r w:rsidRPr="00CE3F21">
              <w:t>Programom rada Instituta za nestale osobe Bosne i Hercegovine  za 20</w:t>
            </w:r>
            <w:r w:rsidR="00AE66DB" w:rsidRPr="00CE3F21">
              <w:t>20</w:t>
            </w:r>
            <w:r w:rsidRPr="00CE3F21">
              <w:t xml:space="preserve">.godinu  </w:t>
            </w:r>
            <w:r w:rsidRPr="00CE3F21">
              <w:rPr>
                <w:b/>
                <w:u w:val="single"/>
              </w:rPr>
              <w:t>nije planirana</w:t>
            </w:r>
            <w:r w:rsidRPr="00CE3F21">
              <w:rPr>
                <w:b/>
              </w:rPr>
              <w:t xml:space="preserve">  </w:t>
            </w:r>
            <w:r w:rsidRPr="00CE3F21">
              <w:t>izrada i donošenje zakona.</w:t>
            </w:r>
          </w:p>
          <w:p w14:paraId="074F3AFF" w14:textId="77777777" w:rsidR="00F23587" w:rsidRPr="00CE3F21" w:rsidRDefault="00F23587" w:rsidP="00840B1D">
            <w:pPr>
              <w:ind w:left="184"/>
            </w:pPr>
          </w:p>
          <w:p w14:paraId="0596FC6B" w14:textId="77777777" w:rsidR="00F23587" w:rsidRPr="00CE3F21" w:rsidRDefault="00F23587" w:rsidP="00840B1D">
            <w:pPr>
              <w:ind w:left="184"/>
            </w:pPr>
          </w:p>
          <w:p w14:paraId="0C5E35B1" w14:textId="77777777" w:rsidR="00F23587" w:rsidRPr="00CE3F21" w:rsidRDefault="00F23587" w:rsidP="00840B1D">
            <w:pPr>
              <w:ind w:left="184"/>
            </w:pPr>
          </w:p>
          <w:p w14:paraId="153E9035" w14:textId="77777777" w:rsidR="00F23587" w:rsidRPr="00CE3F21" w:rsidRDefault="00F23587" w:rsidP="00840B1D">
            <w:pPr>
              <w:ind w:left="184"/>
            </w:pPr>
          </w:p>
          <w:p w14:paraId="1C2F10FB" w14:textId="77777777" w:rsidR="00F23587" w:rsidRPr="00CE3F21" w:rsidRDefault="00F23587" w:rsidP="00840B1D">
            <w:pPr>
              <w:ind w:left="184"/>
            </w:pPr>
          </w:p>
          <w:p w14:paraId="54AB2AD9" w14:textId="77777777" w:rsidR="00F23587" w:rsidRPr="00CE3F21" w:rsidRDefault="00F23587" w:rsidP="00840B1D">
            <w:pPr>
              <w:ind w:left="184"/>
            </w:pPr>
          </w:p>
          <w:p w14:paraId="4597B37A" w14:textId="77777777" w:rsidR="00F23587" w:rsidRPr="00CE3F21" w:rsidRDefault="00F23587" w:rsidP="00840B1D">
            <w:pPr>
              <w:ind w:left="184"/>
            </w:pPr>
          </w:p>
          <w:p w14:paraId="67CD37B1" w14:textId="77777777" w:rsidR="00F23587" w:rsidRPr="00CE3F21" w:rsidRDefault="00F23587" w:rsidP="00840B1D">
            <w:pPr>
              <w:ind w:left="184"/>
            </w:pPr>
          </w:p>
          <w:p w14:paraId="46DE827A" w14:textId="77777777" w:rsidR="00F23587" w:rsidRPr="00CE3F21" w:rsidRDefault="00F23587" w:rsidP="00840B1D">
            <w:pPr>
              <w:ind w:left="184"/>
            </w:pPr>
          </w:p>
          <w:p w14:paraId="614061DA" w14:textId="77777777" w:rsidR="00F23587" w:rsidRPr="00CE3F21" w:rsidRDefault="00F23587" w:rsidP="00840B1D">
            <w:pPr>
              <w:ind w:left="184"/>
            </w:pPr>
          </w:p>
          <w:p w14:paraId="7DF6D8BC" w14:textId="77777777" w:rsidR="00F23587" w:rsidRPr="00CE3F21" w:rsidRDefault="00F23587" w:rsidP="00840B1D">
            <w:pPr>
              <w:ind w:left="184"/>
            </w:pPr>
          </w:p>
          <w:p w14:paraId="01E59DC2" w14:textId="77777777" w:rsidR="00F23587" w:rsidRPr="00CE3F21" w:rsidRDefault="00F23587" w:rsidP="00840B1D">
            <w:pPr>
              <w:ind w:left="184"/>
            </w:pPr>
          </w:p>
          <w:p w14:paraId="60E1DFE2" w14:textId="77777777" w:rsidR="00F23587" w:rsidRPr="00CE3F21" w:rsidRDefault="00F23587" w:rsidP="00840B1D">
            <w:pPr>
              <w:ind w:left="184"/>
            </w:pPr>
          </w:p>
          <w:p w14:paraId="5456DB16" w14:textId="77777777" w:rsidR="00F23587" w:rsidRPr="00CE3F21" w:rsidRDefault="00F23587" w:rsidP="00840B1D">
            <w:pPr>
              <w:ind w:left="184"/>
            </w:pPr>
          </w:p>
          <w:p w14:paraId="231FC0BF" w14:textId="77777777" w:rsidR="00840B1D" w:rsidRPr="00CE3F21" w:rsidRDefault="00840B1D" w:rsidP="00C27AB5">
            <w:pPr>
              <w:ind w:left="322"/>
              <w:rPr>
                <w:b/>
              </w:rPr>
            </w:pPr>
          </w:p>
        </w:tc>
      </w:tr>
      <w:tr w:rsidR="00DE01C8" w:rsidRPr="00484CCD" w14:paraId="5F06FC00" w14:textId="77777777" w:rsidTr="00287818">
        <w:tc>
          <w:tcPr>
            <w:tcW w:w="16327" w:type="dxa"/>
            <w:gridSpan w:val="10"/>
          </w:tcPr>
          <w:p w14:paraId="63E18DBA" w14:textId="77777777" w:rsidR="009B615A" w:rsidRPr="00F23587" w:rsidRDefault="009B615A" w:rsidP="00F103D5">
            <w:pPr>
              <w:ind w:left="322"/>
            </w:pPr>
          </w:p>
        </w:tc>
      </w:tr>
      <w:tr w:rsidR="007442CC" w:rsidRPr="00484CCD" w14:paraId="7D65199A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</w:trPr>
        <w:tc>
          <w:tcPr>
            <w:tcW w:w="15605" w:type="dxa"/>
            <w:gridSpan w:val="8"/>
          </w:tcPr>
          <w:p w14:paraId="29FE6744" w14:textId="77777777" w:rsidR="00287818" w:rsidRPr="00F23587" w:rsidRDefault="00E12ED5" w:rsidP="00CB4B85">
            <w:pPr>
              <w:rPr>
                <w:b/>
              </w:rPr>
            </w:pPr>
            <w:r w:rsidRPr="00F23587">
              <w:rPr>
                <w:b/>
              </w:rPr>
              <w:t xml:space="preserve">IV – IZVJEŠTAJ O IZRAĐENIM PODZAKONSKIM AKTIMA PLANIRANIH GODIŠNJIM  PROGRAMOM RADA </w:t>
            </w:r>
          </w:p>
          <w:p w14:paraId="1FCC5853" w14:textId="77777777" w:rsidR="00E12ED5" w:rsidRPr="00F23587" w:rsidRDefault="00E12ED5" w:rsidP="00CB4B85">
            <w:pPr>
              <w:rPr>
                <w:b/>
              </w:rPr>
            </w:pPr>
            <w:r w:rsidRPr="00F23587">
              <w:rPr>
                <w:b/>
              </w:rPr>
              <w:t>INSTITUTA ZA NESTALE OSOBE BOSNE I HERCEGOVINE</w:t>
            </w:r>
          </w:p>
        </w:tc>
      </w:tr>
      <w:tr w:rsidR="007442CC" w:rsidRPr="00484CCD" w14:paraId="104EF050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</w:trPr>
        <w:tc>
          <w:tcPr>
            <w:tcW w:w="15605" w:type="dxa"/>
            <w:gridSpan w:val="8"/>
          </w:tcPr>
          <w:p w14:paraId="2A9424A7" w14:textId="77777777" w:rsidR="00E12ED5" w:rsidRPr="00F23587" w:rsidRDefault="00E12ED5" w:rsidP="00E12ED5">
            <w:pPr>
              <w:rPr>
                <w:b/>
              </w:rPr>
            </w:pPr>
            <w:r w:rsidRPr="00F23587">
              <w:rPr>
                <w:b/>
              </w:rPr>
              <w:t>Opći cilj/ princip razvoja: Institucija ne usklađuje plan rada sa VM BiH</w:t>
            </w:r>
          </w:p>
        </w:tc>
      </w:tr>
      <w:tr w:rsidR="007442CC" w:rsidRPr="00484CCD" w14:paraId="45ED5711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</w:trPr>
        <w:tc>
          <w:tcPr>
            <w:tcW w:w="15605" w:type="dxa"/>
            <w:gridSpan w:val="8"/>
          </w:tcPr>
          <w:p w14:paraId="3F65F824" w14:textId="77777777" w:rsidR="00E12ED5" w:rsidRPr="00F23587" w:rsidRDefault="00E12ED5" w:rsidP="00E12ED5">
            <w:pPr>
              <w:rPr>
                <w:b/>
              </w:rPr>
            </w:pPr>
            <w:r w:rsidRPr="00F23587">
              <w:rPr>
                <w:b/>
              </w:rPr>
              <w:t>Strateški cilj:</w:t>
            </w:r>
            <w:r w:rsidR="008251A8" w:rsidRPr="00F23587">
              <w:rPr>
                <w:b/>
              </w:rPr>
              <w:t xml:space="preserve"> </w:t>
            </w:r>
            <w:r w:rsidRPr="00F23587">
              <w:rPr>
                <w:b/>
              </w:rPr>
              <w:t>Ubrzati proces tranzicije i izgradnje kapaciteta</w:t>
            </w:r>
          </w:p>
        </w:tc>
      </w:tr>
      <w:tr w:rsidR="007442CC" w:rsidRPr="00484CCD" w14:paraId="433B1E2B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</w:trPr>
        <w:tc>
          <w:tcPr>
            <w:tcW w:w="15605" w:type="dxa"/>
            <w:gridSpan w:val="8"/>
          </w:tcPr>
          <w:p w14:paraId="3D3206C9" w14:textId="77777777" w:rsidR="00E12ED5" w:rsidRPr="00F23587" w:rsidRDefault="00E12ED5" w:rsidP="00E12ED5">
            <w:pPr>
              <w:rPr>
                <w:b/>
              </w:rPr>
            </w:pPr>
            <w:r w:rsidRPr="00F23587">
              <w:rPr>
                <w:b/>
              </w:rPr>
              <w:t>Srednjoročni cilj:</w:t>
            </w:r>
            <w:r w:rsidR="008251A8" w:rsidRPr="00F23587">
              <w:rPr>
                <w:b/>
              </w:rPr>
              <w:t xml:space="preserve"> </w:t>
            </w:r>
            <w:r w:rsidRPr="00F23587">
              <w:rPr>
                <w:b/>
              </w:rPr>
              <w:t>Pronalazak osoba u/iz Bosne i Hercegovine nestalih u period</w:t>
            </w:r>
            <w:r w:rsidR="001221F0" w:rsidRPr="00F23587">
              <w:rPr>
                <w:b/>
              </w:rPr>
              <w:t>u od 30.04.1991. do 14.02.1996.</w:t>
            </w:r>
            <w:r w:rsidRPr="00F23587">
              <w:rPr>
                <w:b/>
              </w:rPr>
              <w:t>godine</w:t>
            </w:r>
          </w:p>
        </w:tc>
      </w:tr>
      <w:tr w:rsidR="007442CC" w:rsidRPr="00484CCD" w14:paraId="1D32804B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</w:trPr>
        <w:tc>
          <w:tcPr>
            <w:tcW w:w="15605" w:type="dxa"/>
            <w:gridSpan w:val="8"/>
          </w:tcPr>
          <w:p w14:paraId="4E012698" w14:textId="77777777" w:rsidR="00E12ED5" w:rsidRPr="00F23587" w:rsidRDefault="00E12ED5" w:rsidP="001221F0">
            <w:pPr>
              <w:rPr>
                <w:b/>
              </w:rPr>
            </w:pPr>
            <w:r w:rsidRPr="00F23587">
              <w:rPr>
                <w:b/>
              </w:rPr>
              <w:t>Specifični cilj: Pronalazak osoba u/iz Bosne i Hercegovine nestalih u periodu od 30.04.1991. do 14.02.1996.godine</w:t>
            </w:r>
          </w:p>
        </w:tc>
      </w:tr>
      <w:tr w:rsidR="00275687" w:rsidRPr="00484CCD" w14:paraId="45ADE660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621"/>
        </w:trPr>
        <w:tc>
          <w:tcPr>
            <w:tcW w:w="4953" w:type="dxa"/>
            <w:vMerge w:val="restart"/>
          </w:tcPr>
          <w:p w14:paraId="35708661" w14:textId="77777777" w:rsidR="00E12ED5" w:rsidRPr="00F23587" w:rsidRDefault="00E12ED5" w:rsidP="00E12ED5">
            <w:pPr>
              <w:rPr>
                <w:b/>
              </w:rPr>
            </w:pPr>
            <w:r w:rsidRPr="00F23587">
              <w:rPr>
                <w:b/>
              </w:rPr>
              <w:t>Naziv podzakonskog akta</w:t>
            </w:r>
          </w:p>
        </w:tc>
        <w:tc>
          <w:tcPr>
            <w:tcW w:w="2739" w:type="dxa"/>
            <w:gridSpan w:val="2"/>
          </w:tcPr>
          <w:p w14:paraId="38DFF581" w14:textId="77777777" w:rsidR="00E12ED5" w:rsidRPr="00F23587" w:rsidRDefault="00E12ED5" w:rsidP="00E12ED5">
            <w:pPr>
              <w:rPr>
                <w:b/>
              </w:rPr>
            </w:pPr>
            <w:r w:rsidRPr="00F23587">
              <w:rPr>
                <w:b/>
              </w:rPr>
              <w:t>Vrijeme provođenja</w:t>
            </w:r>
          </w:p>
        </w:tc>
        <w:tc>
          <w:tcPr>
            <w:tcW w:w="4919" w:type="dxa"/>
            <w:gridSpan w:val="4"/>
          </w:tcPr>
          <w:p w14:paraId="02DA2D89" w14:textId="77777777" w:rsidR="00E12ED5" w:rsidRPr="00F23587" w:rsidRDefault="00E12ED5" w:rsidP="00F23587">
            <w:pPr>
              <w:rPr>
                <w:b/>
              </w:rPr>
            </w:pPr>
            <w:r w:rsidRPr="00F23587">
              <w:rPr>
                <w:b/>
              </w:rPr>
              <w:t>Status podzakonsko</w:t>
            </w:r>
            <w:r w:rsidR="001221F0" w:rsidRPr="00F23587">
              <w:rPr>
                <w:b/>
              </w:rPr>
              <w:t>g akta zaključno sa 31.12.20</w:t>
            </w:r>
            <w:r w:rsidR="00F23587">
              <w:rPr>
                <w:b/>
              </w:rPr>
              <w:t>20</w:t>
            </w:r>
            <w:r w:rsidR="001221F0" w:rsidRPr="00F23587">
              <w:rPr>
                <w:b/>
              </w:rPr>
              <w:t>.</w:t>
            </w:r>
            <w:r w:rsidRPr="00F23587">
              <w:rPr>
                <w:b/>
              </w:rPr>
              <w:t>godine</w:t>
            </w:r>
          </w:p>
        </w:tc>
        <w:tc>
          <w:tcPr>
            <w:tcW w:w="2994" w:type="dxa"/>
            <w:vMerge w:val="restart"/>
          </w:tcPr>
          <w:p w14:paraId="071181D1" w14:textId="77777777" w:rsidR="00E12ED5" w:rsidRPr="00F23587" w:rsidRDefault="00E12ED5" w:rsidP="00E12ED5">
            <w:pPr>
              <w:rPr>
                <w:b/>
              </w:rPr>
            </w:pPr>
            <w:r w:rsidRPr="00F23587">
              <w:rPr>
                <w:b/>
              </w:rPr>
              <w:t>Komentar</w:t>
            </w:r>
          </w:p>
        </w:tc>
      </w:tr>
      <w:tr w:rsidR="00275687" w:rsidRPr="00484CCD" w14:paraId="6260E25A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1046"/>
        </w:trPr>
        <w:tc>
          <w:tcPr>
            <w:tcW w:w="4953" w:type="dxa"/>
            <w:vMerge/>
          </w:tcPr>
          <w:p w14:paraId="3B6BCB3B" w14:textId="77777777" w:rsidR="00A21333" w:rsidRPr="00F23587" w:rsidRDefault="00A21333" w:rsidP="00E12ED5">
            <w:pPr>
              <w:rPr>
                <w:b/>
              </w:rPr>
            </w:pPr>
          </w:p>
        </w:tc>
        <w:tc>
          <w:tcPr>
            <w:tcW w:w="1280" w:type="dxa"/>
          </w:tcPr>
          <w:p w14:paraId="3160633C" w14:textId="77777777" w:rsidR="00A21333" w:rsidRPr="00F23587" w:rsidRDefault="00A21333" w:rsidP="00E12ED5">
            <w:pPr>
              <w:rPr>
                <w:b/>
              </w:rPr>
            </w:pPr>
            <w:r w:rsidRPr="00F23587">
              <w:rPr>
                <w:b/>
              </w:rPr>
              <w:t>Planirani  kvartal za provođenje aktivnosti</w:t>
            </w:r>
          </w:p>
        </w:tc>
        <w:tc>
          <w:tcPr>
            <w:tcW w:w="1459" w:type="dxa"/>
          </w:tcPr>
          <w:p w14:paraId="59CBD59A" w14:textId="77777777" w:rsidR="00A21333" w:rsidRPr="00F23587" w:rsidRDefault="00A21333" w:rsidP="00E12ED5">
            <w:pPr>
              <w:rPr>
                <w:b/>
              </w:rPr>
            </w:pPr>
            <w:r w:rsidRPr="00F23587">
              <w:rPr>
                <w:b/>
              </w:rPr>
              <w:t>Kvartal kada je aktivnost provedena</w:t>
            </w:r>
          </w:p>
        </w:tc>
        <w:tc>
          <w:tcPr>
            <w:tcW w:w="1402" w:type="dxa"/>
          </w:tcPr>
          <w:p w14:paraId="7BCE68DB" w14:textId="77777777" w:rsidR="00A21333" w:rsidRPr="00F23587" w:rsidRDefault="00A21333" w:rsidP="00A21333">
            <w:pPr>
              <w:rPr>
                <w:b/>
              </w:rPr>
            </w:pPr>
            <w:r w:rsidRPr="00F23587">
              <w:rPr>
                <w:b/>
              </w:rPr>
              <w:t>Upućen rukovodiocu (DA/NE)</w:t>
            </w:r>
          </w:p>
        </w:tc>
        <w:tc>
          <w:tcPr>
            <w:tcW w:w="1390" w:type="dxa"/>
          </w:tcPr>
          <w:p w14:paraId="389999B0" w14:textId="77777777" w:rsidR="00A21333" w:rsidRPr="00F23587" w:rsidRDefault="00A21333" w:rsidP="00E12ED5">
            <w:pPr>
              <w:rPr>
                <w:b/>
              </w:rPr>
            </w:pPr>
            <w:r w:rsidRPr="00F23587">
              <w:rPr>
                <w:b/>
              </w:rPr>
              <w:t>Usvojen od strane rukovodioca (DA/NE)</w:t>
            </w:r>
          </w:p>
        </w:tc>
        <w:tc>
          <w:tcPr>
            <w:tcW w:w="1134" w:type="dxa"/>
          </w:tcPr>
          <w:p w14:paraId="77A9BFCA" w14:textId="77777777" w:rsidR="00A21333" w:rsidRPr="00F23587" w:rsidRDefault="00A21333" w:rsidP="00E12ED5">
            <w:pPr>
              <w:rPr>
                <w:b/>
              </w:rPr>
            </w:pPr>
            <w:r w:rsidRPr="00F23587">
              <w:rPr>
                <w:b/>
              </w:rPr>
              <w:t>Upućen VM BiH</w:t>
            </w:r>
          </w:p>
          <w:p w14:paraId="462F93D4" w14:textId="77777777" w:rsidR="00A21333" w:rsidRPr="00F23587" w:rsidRDefault="00A21333" w:rsidP="00E12ED5">
            <w:pPr>
              <w:rPr>
                <w:b/>
              </w:rPr>
            </w:pPr>
            <w:r w:rsidRPr="00F23587">
              <w:rPr>
                <w:b/>
              </w:rPr>
              <w:t>(DA/NE)</w:t>
            </w:r>
          </w:p>
        </w:tc>
        <w:tc>
          <w:tcPr>
            <w:tcW w:w="993" w:type="dxa"/>
          </w:tcPr>
          <w:p w14:paraId="2A471824" w14:textId="77777777" w:rsidR="00A21333" w:rsidRPr="00F23587" w:rsidRDefault="00A21333" w:rsidP="00A21333">
            <w:pPr>
              <w:rPr>
                <w:b/>
              </w:rPr>
            </w:pPr>
            <w:r w:rsidRPr="00F23587">
              <w:rPr>
                <w:b/>
              </w:rPr>
              <w:t>Usvojen na VM BiH</w:t>
            </w:r>
          </w:p>
          <w:p w14:paraId="0475D4AE" w14:textId="77777777" w:rsidR="00A21333" w:rsidRPr="00F23587" w:rsidRDefault="00A21333" w:rsidP="00A21333">
            <w:pPr>
              <w:rPr>
                <w:b/>
              </w:rPr>
            </w:pPr>
            <w:r w:rsidRPr="00F23587">
              <w:rPr>
                <w:b/>
              </w:rPr>
              <w:t>(DA/NE)</w:t>
            </w:r>
          </w:p>
        </w:tc>
        <w:tc>
          <w:tcPr>
            <w:tcW w:w="2994" w:type="dxa"/>
            <w:vMerge/>
          </w:tcPr>
          <w:p w14:paraId="376CC225" w14:textId="77777777" w:rsidR="00A21333" w:rsidRPr="00F23587" w:rsidRDefault="00A21333" w:rsidP="00E12ED5">
            <w:pPr>
              <w:rPr>
                <w:b/>
              </w:rPr>
            </w:pPr>
          </w:p>
        </w:tc>
      </w:tr>
      <w:tr w:rsidR="00275687" w:rsidRPr="00484CCD" w14:paraId="1049DA54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39D87987" w14:textId="77777777" w:rsidR="00A21333" w:rsidRPr="00F23587" w:rsidRDefault="00A21333" w:rsidP="00A21333">
            <w:pPr>
              <w:jc w:val="center"/>
              <w:rPr>
                <w:b/>
              </w:rPr>
            </w:pPr>
            <w:r w:rsidRPr="00F23587">
              <w:rPr>
                <w:b/>
              </w:rPr>
              <w:t>1</w:t>
            </w:r>
          </w:p>
        </w:tc>
        <w:tc>
          <w:tcPr>
            <w:tcW w:w="1280" w:type="dxa"/>
          </w:tcPr>
          <w:p w14:paraId="40BAF9EC" w14:textId="77777777" w:rsidR="00A21333" w:rsidRPr="00F23587" w:rsidRDefault="00A21333" w:rsidP="00A21333">
            <w:pPr>
              <w:jc w:val="center"/>
              <w:rPr>
                <w:b/>
              </w:rPr>
            </w:pPr>
            <w:r w:rsidRPr="00F23587">
              <w:rPr>
                <w:b/>
              </w:rPr>
              <w:t>2</w:t>
            </w:r>
          </w:p>
        </w:tc>
        <w:tc>
          <w:tcPr>
            <w:tcW w:w="1459" w:type="dxa"/>
          </w:tcPr>
          <w:p w14:paraId="6012B051" w14:textId="77777777" w:rsidR="00A21333" w:rsidRPr="00F23587" w:rsidRDefault="00A21333" w:rsidP="00A21333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02" w:type="dxa"/>
          </w:tcPr>
          <w:p w14:paraId="48030E9C" w14:textId="77777777" w:rsidR="00A21333" w:rsidRPr="00F23587" w:rsidRDefault="00A21333" w:rsidP="00A21333">
            <w:pPr>
              <w:jc w:val="center"/>
              <w:rPr>
                <w:b/>
              </w:rPr>
            </w:pPr>
            <w:r w:rsidRPr="00F23587">
              <w:rPr>
                <w:b/>
              </w:rPr>
              <w:t>4</w:t>
            </w:r>
          </w:p>
        </w:tc>
        <w:tc>
          <w:tcPr>
            <w:tcW w:w="1390" w:type="dxa"/>
          </w:tcPr>
          <w:p w14:paraId="385441D3" w14:textId="77777777" w:rsidR="00A21333" w:rsidRPr="00F23587" w:rsidRDefault="00A21333" w:rsidP="00A21333">
            <w:pPr>
              <w:jc w:val="center"/>
              <w:rPr>
                <w:b/>
              </w:rPr>
            </w:pPr>
            <w:r w:rsidRPr="00F23587">
              <w:rPr>
                <w:b/>
              </w:rPr>
              <w:t>5</w:t>
            </w:r>
          </w:p>
        </w:tc>
        <w:tc>
          <w:tcPr>
            <w:tcW w:w="1134" w:type="dxa"/>
          </w:tcPr>
          <w:p w14:paraId="136E1C9D" w14:textId="77777777" w:rsidR="00A21333" w:rsidRPr="00F23587" w:rsidRDefault="00A21333" w:rsidP="00A21333">
            <w:pPr>
              <w:jc w:val="center"/>
              <w:rPr>
                <w:b/>
              </w:rPr>
            </w:pPr>
            <w:r w:rsidRPr="00F23587">
              <w:rPr>
                <w:b/>
              </w:rPr>
              <w:t>6</w:t>
            </w:r>
          </w:p>
        </w:tc>
        <w:tc>
          <w:tcPr>
            <w:tcW w:w="993" w:type="dxa"/>
          </w:tcPr>
          <w:p w14:paraId="024C682A" w14:textId="77777777" w:rsidR="00A21333" w:rsidRPr="00F23587" w:rsidRDefault="00A21333" w:rsidP="00A21333">
            <w:pPr>
              <w:jc w:val="center"/>
              <w:rPr>
                <w:b/>
              </w:rPr>
            </w:pPr>
            <w:r w:rsidRPr="00F23587">
              <w:rPr>
                <w:b/>
              </w:rPr>
              <w:t>7</w:t>
            </w:r>
          </w:p>
        </w:tc>
        <w:tc>
          <w:tcPr>
            <w:tcW w:w="2994" w:type="dxa"/>
          </w:tcPr>
          <w:p w14:paraId="4844BE6B" w14:textId="77777777" w:rsidR="00A21333" w:rsidRPr="00F23587" w:rsidRDefault="00A21333" w:rsidP="00A21333">
            <w:pPr>
              <w:jc w:val="center"/>
              <w:rPr>
                <w:b/>
              </w:rPr>
            </w:pPr>
            <w:r w:rsidRPr="00F23587">
              <w:rPr>
                <w:b/>
              </w:rPr>
              <w:t>8</w:t>
            </w:r>
          </w:p>
        </w:tc>
      </w:tr>
      <w:tr w:rsidR="00ED237D" w:rsidRPr="00ED237D" w14:paraId="4AC6EF4C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7C498F9F" w14:textId="77777777" w:rsidR="00CE3F21" w:rsidRDefault="00E719D8" w:rsidP="00403571">
            <w:pPr>
              <w:rPr>
                <w:i/>
              </w:rPr>
            </w:pPr>
            <w:r w:rsidRPr="00F23587">
              <w:rPr>
                <w:i/>
              </w:rPr>
              <w:t>Srednjoročni plan rada za 2021.-2023</w:t>
            </w:r>
          </w:p>
          <w:p w14:paraId="2D17AF10" w14:textId="77777777" w:rsidR="00C55386" w:rsidRPr="00F23587" w:rsidRDefault="00E719D8" w:rsidP="00403571">
            <w:r w:rsidRPr="00F23587">
              <w:rPr>
                <w:i/>
              </w:rPr>
              <w:t>.</w:t>
            </w:r>
          </w:p>
        </w:tc>
        <w:tc>
          <w:tcPr>
            <w:tcW w:w="1280" w:type="dxa"/>
          </w:tcPr>
          <w:p w14:paraId="00A3CCA9" w14:textId="77777777" w:rsidR="00F103D5" w:rsidRPr="00F23587" w:rsidRDefault="00ED237D" w:rsidP="00A21333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59" w:type="dxa"/>
          </w:tcPr>
          <w:p w14:paraId="26EF2CB0" w14:textId="77777777" w:rsidR="00F103D5" w:rsidRPr="00F23587" w:rsidRDefault="00403571" w:rsidP="00403571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02" w:type="dxa"/>
          </w:tcPr>
          <w:p w14:paraId="409225BE" w14:textId="77777777" w:rsidR="00F103D5" w:rsidRPr="00F23587" w:rsidRDefault="00C55386" w:rsidP="00A21333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390" w:type="dxa"/>
          </w:tcPr>
          <w:p w14:paraId="41BECC24" w14:textId="77777777" w:rsidR="00F103D5" w:rsidRPr="00F23587" w:rsidRDefault="00C55386" w:rsidP="00A21333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134" w:type="dxa"/>
          </w:tcPr>
          <w:p w14:paraId="4FAA68A1" w14:textId="77777777" w:rsidR="00F103D5" w:rsidRPr="00F23587" w:rsidRDefault="00F103D5" w:rsidP="00A2133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577CC360" w14:textId="77777777" w:rsidR="00F103D5" w:rsidRPr="00F23587" w:rsidRDefault="00F103D5" w:rsidP="00A21333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14:paraId="68602060" w14:textId="77777777" w:rsidR="00F103D5" w:rsidRPr="00CE3F21" w:rsidRDefault="00ED237D" w:rsidP="00ED237D">
            <w:pPr>
              <w:jc w:val="center"/>
            </w:pPr>
            <w:r w:rsidRPr="00CE3F21">
              <w:t>Usvaja Kolegij direktora</w:t>
            </w:r>
          </w:p>
        </w:tc>
      </w:tr>
      <w:tr w:rsidR="00ED237D" w:rsidRPr="00ED237D" w14:paraId="231BC06C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4CD70A14" w14:textId="77777777" w:rsidR="00ED237D" w:rsidRDefault="00ED237D" w:rsidP="00ED237D">
            <w:pPr>
              <w:rPr>
                <w:i/>
              </w:rPr>
            </w:pPr>
            <w:r w:rsidRPr="00F23587">
              <w:rPr>
                <w:i/>
              </w:rPr>
              <w:t xml:space="preserve">Akcioni Plan za prevenciju korupcije za vrijeme trajanja </w:t>
            </w:r>
            <w:proofErr w:type="spellStart"/>
            <w:r w:rsidRPr="00F23587">
              <w:rPr>
                <w:i/>
              </w:rPr>
              <w:t>pandemije</w:t>
            </w:r>
            <w:proofErr w:type="spellEnd"/>
            <w:r w:rsidRPr="00F23587">
              <w:rPr>
                <w:i/>
              </w:rPr>
              <w:t xml:space="preserve"> „COVID 19“ u Institutu za nestale osobe Bosne i Hercegovine</w:t>
            </w:r>
          </w:p>
          <w:p w14:paraId="70AA8870" w14:textId="77777777" w:rsidR="00CE3F21" w:rsidRPr="00F23587" w:rsidRDefault="00CE3F21" w:rsidP="00ED237D"/>
        </w:tc>
        <w:tc>
          <w:tcPr>
            <w:tcW w:w="1280" w:type="dxa"/>
          </w:tcPr>
          <w:p w14:paraId="59413576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59" w:type="dxa"/>
          </w:tcPr>
          <w:p w14:paraId="35ACC49D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02" w:type="dxa"/>
          </w:tcPr>
          <w:p w14:paraId="3FFF7F38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390" w:type="dxa"/>
          </w:tcPr>
          <w:p w14:paraId="47C06C6C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134" w:type="dxa"/>
          </w:tcPr>
          <w:p w14:paraId="3C0C4659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DF39960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14:paraId="454FD7EF" w14:textId="77777777" w:rsidR="00ED237D" w:rsidRPr="00F23587" w:rsidRDefault="00ED237D" w:rsidP="00ED237D">
            <w:pPr>
              <w:jc w:val="center"/>
            </w:pPr>
            <w:r w:rsidRPr="00F23587">
              <w:t>Usvaja Kolegij direktora</w:t>
            </w:r>
          </w:p>
        </w:tc>
      </w:tr>
      <w:tr w:rsidR="00ED237D" w:rsidRPr="00ED237D" w14:paraId="159D120F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7AB1A57B" w14:textId="77777777" w:rsidR="00ED237D" w:rsidRDefault="00ED237D" w:rsidP="00CE3F21">
            <w:pPr>
              <w:rPr>
                <w:i/>
              </w:rPr>
            </w:pPr>
            <w:r w:rsidRPr="00F23587">
              <w:rPr>
                <w:i/>
              </w:rPr>
              <w:t xml:space="preserve">Instrukcija o postupanju  Instituta za nestale osobe BiH i pravima i obavezama  zaposlenika  tokom trajanja </w:t>
            </w:r>
            <w:proofErr w:type="spellStart"/>
            <w:r w:rsidRPr="00F23587">
              <w:rPr>
                <w:i/>
              </w:rPr>
              <w:t>pandemije</w:t>
            </w:r>
            <w:proofErr w:type="spellEnd"/>
            <w:r w:rsidRPr="00F23587">
              <w:rPr>
                <w:i/>
              </w:rPr>
              <w:t xml:space="preserve"> COVID 1</w:t>
            </w:r>
          </w:p>
          <w:p w14:paraId="0C264D02" w14:textId="77777777" w:rsidR="00CE3F21" w:rsidRPr="00F23587" w:rsidRDefault="00CE3F21" w:rsidP="00CE3F21"/>
        </w:tc>
        <w:tc>
          <w:tcPr>
            <w:tcW w:w="1280" w:type="dxa"/>
          </w:tcPr>
          <w:p w14:paraId="3464F9CE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59" w:type="dxa"/>
          </w:tcPr>
          <w:p w14:paraId="20D01088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02" w:type="dxa"/>
          </w:tcPr>
          <w:p w14:paraId="6916E9D3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390" w:type="dxa"/>
          </w:tcPr>
          <w:p w14:paraId="2F153B3D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134" w:type="dxa"/>
          </w:tcPr>
          <w:p w14:paraId="5C8E691A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5E62F165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14:paraId="14D39F90" w14:textId="77777777" w:rsidR="00ED237D" w:rsidRPr="00F23587" w:rsidRDefault="00ED237D" w:rsidP="00ED237D">
            <w:pPr>
              <w:jc w:val="center"/>
            </w:pPr>
            <w:r w:rsidRPr="00F23587">
              <w:t>Usvaja Kolegij direktora</w:t>
            </w:r>
          </w:p>
        </w:tc>
      </w:tr>
      <w:tr w:rsidR="00ED237D" w:rsidRPr="00ED237D" w14:paraId="73AF2F5B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45CA8C83" w14:textId="77777777" w:rsidR="00ED237D" w:rsidRDefault="00ED237D" w:rsidP="00ED237D">
            <w:pPr>
              <w:rPr>
                <w:i/>
              </w:rPr>
            </w:pPr>
            <w:r w:rsidRPr="00F23587">
              <w:rPr>
                <w:i/>
              </w:rPr>
              <w:t xml:space="preserve">Odluka o uvođenju izmijenjenog  režima rada zaposlenika u INO BIH  tokom trajanja </w:t>
            </w:r>
            <w:proofErr w:type="spellStart"/>
            <w:r w:rsidRPr="00F23587">
              <w:rPr>
                <w:i/>
              </w:rPr>
              <w:t>pandemije</w:t>
            </w:r>
            <w:proofErr w:type="spellEnd"/>
            <w:r w:rsidRPr="00F23587">
              <w:rPr>
                <w:i/>
              </w:rPr>
              <w:t xml:space="preserve"> COVID 19</w:t>
            </w:r>
          </w:p>
          <w:p w14:paraId="067D46E0" w14:textId="77777777" w:rsidR="00CE3F21" w:rsidRPr="00F23587" w:rsidRDefault="00CE3F21" w:rsidP="00ED237D"/>
        </w:tc>
        <w:tc>
          <w:tcPr>
            <w:tcW w:w="1280" w:type="dxa"/>
          </w:tcPr>
          <w:p w14:paraId="0F14A538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59" w:type="dxa"/>
          </w:tcPr>
          <w:p w14:paraId="2612FE68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02" w:type="dxa"/>
          </w:tcPr>
          <w:p w14:paraId="41B6A3F0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390" w:type="dxa"/>
          </w:tcPr>
          <w:p w14:paraId="16BC04F5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134" w:type="dxa"/>
          </w:tcPr>
          <w:p w14:paraId="4616EB84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8560FDA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14:paraId="18AB036D" w14:textId="77777777" w:rsidR="00ED237D" w:rsidRPr="00F23587" w:rsidRDefault="00ED237D" w:rsidP="00ED237D">
            <w:pPr>
              <w:jc w:val="center"/>
            </w:pPr>
            <w:r w:rsidRPr="00F23587">
              <w:t>Usvaja Kolegij direktora</w:t>
            </w:r>
          </w:p>
        </w:tc>
      </w:tr>
      <w:tr w:rsidR="00ED237D" w:rsidRPr="00ED237D" w14:paraId="11722381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22B8B032" w14:textId="77777777" w:rsidR="00ED237D" w:rsidRDefault="00ED237D" w:rsidP="00ED237D">
            <w:pPr>
              <w:rPr>
                <w:i/>
              </w:rPr>
            </w:pPr>
            <w:r w:rsidRPr="00F23587">
              <w:rPr>
                <w:i/>
              </w:rPr>
              <w:t>Odluka o izmjenama i dopunama Odluke o utvrđivanju  troškova ukopa  identificiranih i neidentificiranih nestalih osoba</w:t>
            </w:r>
          </w:p>
          <w:p w14:paraId="224C24A4" w14:textId="77777777" w:rsidR="00CE3F21" w:rsidRPr="00F23587" w:rsidRDefault="00CE3F21" w:rsidP="00ED237D"/>
        </w:tc>
        <w:tc>
          <w:tcPr>
            <w:tcW w:w="1280" w:type="dxa"/>
          </w:tcPr>
          <w:p w14:paraId="5E265D13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1</w:t>
            </w:r>
          </w:p>
        </w:tc>
        <w:tc>
          <w:tcPr>
            <w:tcW w:w="1459" w:type="dxa"/>
          </w:tcPr>
          <w:p w14:paraId="00CD9645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1</w:t>
            </w:r>
          </w:p>
        </w:tc>
        <w:tc>
          <w:tcPr>
            <w:tcW w:w="1402" w:type="dxa"/>
          </w:tcPr>
          <w:p w14:paraId="6A0A8BE9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390" w:type="dxa"/>
          </w:tcPr>
          <w:p w14:paraId="31A6685A" w14:textId="77777777" w:rsidR="00ED237D" w:rsidRPr="00F23587" w:rsidRDefault="00C42945" w:rsidP="00C42945">
            <w:pPr>
              <w:jc w:val="center"/>
              <w:rPr>
                <w:b/>
              </w:rPr>
            </w:pPr>
            <w:r w:rsidRPr="00F23587">
              <w:rPr>
                <w:b/>
              </w:rPr>
              <w:t>Ne</w:t>
            </w:r>
          </w:p>
        </w:tc>
        <w:tc>
          <w:tcPr>
            <w:tcW w:w="1134" w:type="dxa"/>
          </w:tcPr>
          <w:p w14:paraId="57FE098E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47C163A7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14:paraId="6118DA0E" w14:textId="77777777" w:rsidR="00ED237D" w:rsidRPr="00F23587" w:rsidRDefault="00ED237D" w:rsidP="00ED237D">
            <w:pPr>
              <w:jc w:val="center"/>
            </w:pPr>
            <w:r w:rsidRPr="00F23587">
              <w:t>Usvaja Upravni odbor</w:t>
            </w:r>
          </w:p>
        </w:tc>
      </w:tr>
      <w:tr w:rsidR="00ED237D" w:rsidRPr="00ED237D" w14:paraId="4C69CC00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62C8CC3A" w14:textId="77777777" w:rsidR="00ED237D" w:rsidRDefault="00ED237D" w:rsidP="00ED237D">
            <w:pPr>
              <w:rPr>
                <w:i/>
              </w:rPr>
            </w:pPr>
            <w:r w:rsidRPr="00F23587">
              <w:rPr>
                <w:i/>
              </w:rPr>
              <w:t>Pravilnik o izmjenama i dopunama Pravilnika  o troškovima ukopa posmrtnih ostataka identificiranih i neidentificiranih  nestalih osoba</w:t>
            </w:r>
          </w:p>
          <w:p w14:paraId="4C4FA808" w14:textId="77777777" w:rsidR="00CE3F21" w:rsidRPr="00F23587" w:rsidRDefault="00CE3F21" w:rsidP="00ED237D"/>
        </w:tc>
        <w:tc>
          <w:tcPr>
            <w:tcW w:w="1280" w:type="dxa"/>
          </w:tcPr>
          <w:p w14:paraId="26EE2861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lastRenderedPageBreak/>
              <w:t>1</w:t>
            </w:r>
          </w:p>
        </w:tc>
        <w:tc>
          <w:tcPr>
            <w:tcW w:w="1459" w:type="dxa"/>
          </w:tcPr>
          <w:p w14:paraId="198FD32E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1</w:t>
            </w:r>
          </w:p>
        </w:tc>
        <w:tc>
          <w:tcPr>
            <w:tcW w:w="1402" w:type="dxa"/>
          </w:tcPr>
          <w:p w14:paraId="3DA53931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390" w:type="dxa"/>
          </w:tcPr>
          <w:p w14:paraId="068FF076" w14:textId="77777777" w:rsidR="00ED237D" w:rsidRPr="00F23587" w:rsidRDefault="00C42945" w:rsidP="00C42945">
            <w:pPr>
              <w:jc w:val="center"/>
              <w:rPr>
                <w:b/>
              </w:rPr>
            </w:pPr>
            <w:r w:rsidRPr="00F23587">
              <w:rPr>
                <w:b/>
              </w:rPr>
              <w:t>Ne</w:t>
            </w:r>
          </w:p>
        </w:tc>
        <w:tc>
          <w:tcPr>
            <w:tcW w:w="1134" w:type="dxa"/>
          </w:tcPr>
          <w:p w14:paraId="5B08824F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07BE750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14:paraId="5C65E75D" w14:textId="77777777" w:rsidR="00ED237D" w:rsidRPr="00F23587" w:rsidRDefault="00ED237D" w:rsidP="00ED237D">
            <w:pPr>
              <w:jc w:val="center"/>
            </w:pPr>
            <w:r w:rsidRPr="00F23587">
              <w:t>Usvaja Upravni odbor</w:t>
            </w:r>
          </w:p>
        </w:tc>
      </w:tr>
      <w:tr w:rsidR="00ED237D" w:rsidRPr="00ED237D" w14:paraId="648AE8A0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11C40773" w14:textId="77777777" w:rsidR="00ED237D" w:rsidRDefault="00ED237D" w:rsidP="00ED237D">
            <w:pPr>
              <w:rPr>
                <w:i/>
              </w:rPr>
            </w:pPr>
            <w:r w:rsidRPr="00F23587">
              <w:rPr>
                <w:i/>
              </w:rPr>
              <w:t>Poslovnik o radu web redakcije</w:t>
            </w:r>
          </w:p>
          <w:p w14:paraId="285E8C63" w14:textId="77777777" w:rsidR="00CE3F21" w:rsidRPr="00F23587" w:rsidRDefault="00CE3F21" w:rsidP="00ED237D">
            <w:pPr>
              <w:rPr>
                <w:i/>
              </w:rPr>
            </w:pPr>
          </w:p>
        </w:tc>
        <w:tc>
          <w:tcPr>
            <w:tcW w:w="1280" w:type="dxa"/>
          </w:tcPr>
          <w:p w14:paraId="4E3C81FD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1</w:t>
            </w:r>
          </w:p>
        </w:tc>
        <w:tc>
          <w:tcPr>
            <w:tcW w:w="1459" w:type="dxa"/>
          </w:tcPr>
          <w:p w14:paraId="0253A074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2</w:t>
            </w:r>
          </w:p>
        </w:tc>
        <w:tc>
          <w:tcPr>
            <w:tcW w:w="1402" w:type="dxa"/>
          </w:tcPr>
          <w:p w14:paraId="5D3F37F0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390" w:type="dxa"/>
          </w:tcPr>
          <w:p w14:paraId="5D51DC10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134" w:type="dxa"/>
          </w:tcPr>
          <w:p w14:paraId="2874358B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0D36E646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14:paraId="0E2CB791" w14:textId="77777777" w:rsidR="00ED237D" w:rsidRPr="00F23587" w:rsidRDefault="00ED237D" w:rsidP="00ED237D">
            <w:pPr>
              <w:jc w:val="center"/>
            </w:pPr>
            <w:r w:rsidRPr="00F23587">
              <w:t>Usvaja Kolegij direktora</w:t>
            </w:r>
          </w:p>
        </w:tc>
      </w:tr>
      <w:tr w:rsidR="00ED237D" w:rsidRPr="00ED237D" w14:paraId="32AD81DE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400B2FBF" w14:textId="77777777" w:rsidR="00ED237D" w:rsidRDefault="00ED237D" w:rsidP="00ED237D">
            <w:pPr>
              <w:rPr>
                <w:i/>
              </w:rPr>
            </w:pPr>
            <w:r w:rsidRPr="00F23587">
              <w:rPr>
                <w:i/>
              </w:rPr>
              <w:t xml:space="preserve">Instrukcija o načinu </w:t>
            </w:r>
            <w:proofErr w:type="spellStart"/>
            <w:r w:rsidRPr="00F23587">
              <w:rPr>
                <w:i/>
              </w:rPr>
              <w:t>zaključivanja</w:t>
            </w:r>
            <w:proofErr w:type="spellEnd"/>
            <w:r w:rsidRPr="00F23587">
              <w:rPr>
                <w:i/>
              </w:rPr>
              <w:t xml:space="preserve"> ugovora o djelu u INO BIH</w:t>
            </w:r>
          </w:p>
          <w:p w14:paraId="08338244" w14:textId="77777777" w:rsidR="00CE3F21" w:rsidRPr="00F23587" w:rsidRDefault="00CE3F21" w:rsidP="00ED237D">
            <w:pPr>
              <w:rPr>
                <w:i/>
              </w:rPr>
            </w:pPr>
          </w:p>
        </w:tc>
        <w:tc>
          <w:tcPr>
            <w:tcW w:w="1280" w:type="dxa"/>
          </w:tcPr>
          <w:p w14:paraId="3B190FF1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4</w:t>
            </w:r>
          </w:p>
        </w:tc>
        <w:tc>
          <w:tcPr>
            <w:tcW w:w="1459" w:type="dxa"/>
          </w:tcPr>
          <w:p w14:paraId="4B8574F4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4</w:t>
            </w:r>
          </w:p>
        </w:tc>
        <w:tc>
          <w:tcPr>
            <w:tcW w:w="1402" w:type="dxa"/>
          </w:tcPr>
          <w:p w14:paraId="59E49DC4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390" w:type="dxa"/>
          </w:tcPr>
          <w:p w14:paraId="32853BF9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134" w:type="dxa"/>
          </w:tcPr>
          <w:p w14:paraId="3C5A9C25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B25055D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14:paraId="564BBD64" w14:textId="77777777" w:rsidR="00ED237D" w:rsidRPr="00F23587" w:rsidRDefault="00ED237D" w:rsidP="00ED237D">
            <w:pPr>
              <w:jc w:val="center"/>
            </w:pPr>
            <w:r w:rsidRPr="00F23587">
              <w:t>Usvaja Kolegij direktora</w:t>
            </w:r>
          </w:p>
        </w:tc>
      </w:tr>
      <w:tr w:rsidR="00761450" w:rsidRPr="00ED237D" w14:paraId="1742C8B2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455BE1A3" w14:textId="77777777" w:rsidR="00761450" w:rsidRDefault="00761450" w:rsidP="00ED237D">
            <w:pPr>
              <w:rPr>
                <w:i/>
              </w:rPr>
            </w:pPr>
            <w:r w:rsidRPr="00F23587">
              <w:rPr>
                <w:i/>
              </w:rPr>
              <w:t>Plan stručnog usavršavanja zaposlenika INO BIH</w:t>
            </w:r>
          </w:p>
          <w:p w14:paraId="70EC08B2" w14:textId="77777777" w:rsidR="00CE3F21" w:rsidRPr="00F23587" w:rsidRDefault="00CE3F21" w:rsidP="00ED237D">
            <w:pPr>
              <w:rPr>
                <w:i/>
              </w:rPr>
            </w:pPr>
          </w:p>
        </w:tc>
        <w:tc>
          <w:tcPr>
            <w:tcW w:w="1280" w:type="dxa"/>
          </w:tcPr>
          <w:p w14:paraId="2A1696BE" w14:textId="77777777" w:rsidR="00761450" w:rsidRPr="00F23587" w:rsidRDefault="00761450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1</w:t>
            </w:r>
          </w:p>
        </w:tc>
        <w:tc>
          <w:tcPr>
            <w:tcW w:w="1459" w:type="dxa"/>
          </w:tcPr>
          <w:p w14:paraId="3FA1B716" w14:textId="77777777" w:rsidR="00761450" w:rsidRPr="00F23587" w:rsidRDefault="00761450" w:rsidP="00761450">
            <w:pPr>
              <w:jc w:val="center"/>
              <w:rPr>
                <w:b/>
              </w:rPr>
            </w:pPr>
            <w:r w:rsidRPr="00F23587">
              <w:rPr>
                <w:b/>
              </w:rPr>
              <w:t>2</w:t>
            </w:r>
          </w:p>
        </w:tc>
        <w:tc>
          <w:tcPr>
            <w:tcW w:w="1402" w:type="dxa"/>
          </w:tcPr>
          <w:p w14:paraId="39F9AC72" w14:textId="77777777" w:rsidR="00761450" w:rsidRPr="00F23587" w:rsidRDefault="00761450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390" w:type="dxa"/>
          </w:tcPr>
          <w:p w14:paraId="3A596902" w14:textId="77777777" w:rsidR="00761450" w:rsidRPr="00F23587" w:rsidRDefault="00761450" w:rsidP="00761450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1134" w:type="dxa"/>
          </w:tcPr>
          <w:p w14:paraId="131E322B" w14:textId="77777777" w:rsidR="00761450" w:rsidRPr="00F23587" w:rsidRDefault="00761450" w:rsidP="00ED237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08775731" w14:textId="77777777" w:rsidR="00761450" w:rsidRPr="00F23587" w:rsidRDefault="00761450" w:rsidP="00ED237D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14:paraId="6558B5C9" w14:textId="77777777" w:rsidR="00761450" w:rsidRPr="00F23587" w:rsidRDefault="00761450" w:rsidP="00ED237D">
            <w:pPr>
              <w:jc w:val="center"/>
            </w:pPr>
            <w:r w:rsidRPr="00F23587">
              <w:t>Usvaja Kolegij direktora</w:t>
            </w:r>
          </w:p>
        </w:tc>
      </w:tr>
      <w:tr w:rsidR="00ED237D" w:rsidRPr="00ED237D" w14:paraId="09A06407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781A24FC" w14:textId="77777777" w:rsidR="00ED237D" w:rsidRDefault="00ED237D" w:rsidP="00ED237D">
            <w:pPr>
              <w:rPr>
                <w:i/>
              </w:rPr>
            </w:pPr>
            <w:r w:rsidRPr="00F23587">
              <w:rPr>
                <w:i/>
              </w:rPr>
              <w:t>Pravilnik o radu zaposlenika  u INO BIH</w:t>
            </w:r>
          </w:p>
          <w:p w14:paraId="1E09CCF6" w14:textId="77777777" w:rsidR="00CE3F21" w:rsidRPr="00F23587" w:rsidRDefault="00CE3F21" w:rsidP="00ED237D">
            <w:pPr>
              <w:rPr>
                <w:i/>
              </w:rPr>
            </w:pPr>
          </w:p>
        </w:tc>
        <w:tc>
          <w:tcPr>
            <w:tcW w:w="1280" w:type="dxa"/>
          </w:tcPr>
          <w:p w14:paraId="7908C51E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59" w:type="dxa"/>
          </w:tcPr>
          <w:p w14:paraId="607F023D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4</w:t>
            </w:r>
          </w:p>
        </w:tc>
        <w:tc>
          <w:tcPr>
            <w:tcW w:w="1402" w:type="dxa"/>
          </w:tcPr>
          <w:p w14:paraId="0385BF32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1390" w:type="dxa"/>
          </w:tcPr>
          <w:p w14:paraId="3D049D42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511BA60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993" w:type="dxa"/>
          </w:tcPr>
          <w:p w14:paraId="4427E711" w14:textId="77777777" w:rsidR="00ED237D" w:rsidRPr="00F23587" w:rsidRDefault="00C42945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Ne</w:t>
            </w:r>
          </w:p>
        </w:tc>
        <w:tc>
          <w:tcPr>
            <w:tcW w:w="2994" w:type="dxa"/>
          </w:tcPr>
          <w:p w14:paraId="49D84A1F" w14:textId="77777777" w:rsidR="00ED237D" w:rsidRPr="00F23587" w:rsidRDefault="00ED237D" w:rsidP="00ED237D">
            <w:pPr>
              <w:jc w:val="center"/>
            </w:pPr>
            <w:r w:rsidRPr="00F23587">
              <w:t>Usvaja VMBIH</w:t>
            </w:r>
          </w:p>
        </w:tc>
      </w:tr>
      <w:tr w:rsidR="00ED237D" w:rsidRPr="00ED237D" w14:paraId="41D95BD1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692A0F12" w14:textId="77777777" w:rsidR="00ED237D" w:rsidRDefault="00ED237D" w:rsidP="00ED237D">
            <w:pPr>
              <w:rPr>
                <w:i/>
              </w:rPr>
            </w:pPr>
            <w:r w:rsidRPr="00F23587">
              <w:rPr>
                <w:i/>
              </w:rPr>
              <w:t>Poslovnik o izmjeni Poslovnika o radu Upravnog odbora INO BIH</w:t>
            </w:r>
          </w:p>
          <w:p w14:paraId="0D911E07" w14:textId="77777777" w:rsidR="00CE3F21" w:rsidRPr="00F23587" w:rsidRDefault="00CE3F21" w:rsidP="00ED237D">
            <w:pPr>
              <w:rPr>
                <w:i/>
              </w:rPr>
            </w:pPr>
          </w:p>
        </w:tc>
        <w:tc>
          <w:tcPr>
            <w:tcW w:w="1280" w:type="dxa"/>
          </w:tcPr>
          <w:p w14:paraId="1339A905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59" w:type="dxa"/>
          </w:tcPr>
          <w:p w14:paraId="2615DA51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4</w:t>
            </w:r>
          </w:p>
        </w:tc>
        <w:tc>
          <w:tcPr>
            <w:tcW w:w="1402" w:type="dxa"/>
          </w:tcPr>
          <w:p w14:paraId="2F65236D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1390" w:type="dxa"/>
          </w:tcPr>
          <w:p w14:paraId="560CE9CF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872828A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993" w:type="dxa"/>
          </w:tcPr>
          <w:p w14:paraId="6C06C7E4" w14:textId="77777777" w:rsidR="00ED237D" w:rsidRPr="00F23587" w:rsidRDefault="00C42945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Ne</w:t>
            </w:r>
          </w:p>
        </w:tc>
        <w:tc>
          <w:tcPr>
            <w:tcW w:w="2994" w:type="dxa"/>
          </w:tcPr>
          <w:p w14:paraId="5B2F54E9" w14:textId="77777777" w:rsidR="00ED237D" w:rsidRPr="00F23587" w:rsidRDefault="00ED237D" w:rsidP="00ED237D">
            <w:pPr>
              <w:jc w:val="center"/>
            </w:pPr>
            <w:r w:rsidRPr="00F23587">
              <w:t>Usvaja VMBIH</w:t>
            </w:r>
          </w:p>
        </w:tc>
      </w:tr>
      <w:tr w:rsidR="00ED237D" w:rsidRPr="00ED237D" w14:paraId="4DEF6D48" w14:textId="77777777" w:rsidTr="00F23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4" w:type="dxa"/>
          <w:wAfter w:w="428" w:type="dxa"/>
          <w:trHeight w:val="225"/>
        </w:trPr>
        <w:tc>
          <w:tcPr>
            <w:tcW w:w="4953" w:type="dxa"/>
          </w:tcPr>
          <w:p w14:paraId="4AA42D5A" w14:textId="77777777" w:rsidR="00ED237D" w:rsidRDefault="00ED237D" w:rsidP="00ED237D">
            <w:pPr>
              <w:rPr>
                <w:i/>
              </w:rPr>
            </w:pPr>
            <w:r w:rsidRPr="00F23587">
              <w:rPr>
                <w:i/>
              </w:rPr>
              <w:t>Statut o izmjeni Statuta INO BIH</w:t>
            </w:r>
          </w:p>
          <w:p w14:paraId="176CBA07" w14:textId="77777777" w:rsidR="00CE3F21" w:rsidRPr="00F23587" w:rsidRDefault="00CE3F21" w:rsidP="00ED237D">
            <w:pPr>
              <w:rPr>
                <w:i/>
              </w:rPr>
            </w:pPr>
          </w:p>
        </w:tc>
        <w:tc>
          <w:tcPr>
            <w:tcW w:w="1280" w:type="dxa"/>
          </w:tcPr>
          <w:p w14:paraId="41295A56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459" w:type="dxa"/>
          </w:tcPr>
          <w:p w14:paraId="6A7B6D21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4</w:t>
            </w:r>
          </w:p>
        </w:tc>
        <w:tc>
          <w:tcPr>
            <w:tcW w:w="1402" w:type="dxa"/>
          </w:tcPr>
          <w:p w14:paraId="1C168DAA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1390" w:type="dxa"/>
          </w:tcPr>
          <w:p w14:paraId="28458435" w14:textId="77777777" w:rsidR="00ED237D" w:rsidRPr="00F23587" w:rsidRDefault="00ED237D" w:rsidP="00ED237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DEDA9BE" w14:textId="77777777" w:rsidR="00ED237D" w:rsidRPr="00F23587" w:rsidRDefault="00ED237D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Da</w:t>
            </w:r>
          </w:p>
        </w:tc>
        <w:tc>
          <w:tcPr>
            <w:tcW w:w="993" w:type="dxa"/>
          </w:tcPr>
          <w:p w14:paraId="7195923F" w14:textId="77777777" w:rsidR="00ED237D" w:rsidRPr="00F23587" w:rsidRDefault="00C42945" w:rsidP="00ED237D">
            <w:pPr>
              <w:jc w:val="center"/>
              <w:rPr>
                <w:b/>
              </w:rPr>
            </w:pPr>
            <w:r w:rsidRPr="00F23587">
              <w:rPr>
                <w:b/>
              </w:rPr>
              <w:t>Ne</w:t>
            </w:r>
          </w:p>
        </w:tc>
        <w:tc>
          <w:tcPr>
            <w:tcW w:w="2994" w:type="dxa"/>
          </w:tcPr>
          <w:p w14:paraId="12186BE2" w14:textId="77777777" w:rsidR="00ED237D" w:rsidRPr="00F23587" w:rsidRDefault="00ED237D" w:rsidP="00ED237D">
            <w:pPr>
              <w:jc w:val="center"/>
            </w:pPr>
            <w:r w:rsidRPr="00F23587">
              <w:t>Usvaja VMBIH</w:t>
            </w:r>
          </w:p>
        </w:tc>
      </w:tr>
      <w:tr w:rsidR="00ED237D" w:rsidRPr="00ED237D" w14:paraId="3B4301E3" w14:textId="77777777" w:rsidTr="00287818">
        <w:tc>
          <w:tcPr>
            <w:tcW w:w="16327" w:type="dxa"/>
            <w:gridSpan w:val="10"/>
          </w:tcPr>
          <w:p w14:paraId="75403520" w14:textId="77777777" w:rsidR="00ED237D" w:rsidRPr="00ED237D" w:rsidRDefault="00ED237D" w:rsidP="00ED237D"/>
        </w:tc>
      </w:tr>
      <w:tr w:rsidR="00ED237D" w:rsidRPr="00F23587" w14:paraId="5665F28C" w14:textId="77777777" w:rsidTr="00287818">
        <w:tc>
          <w:tcPr>
            <w:tcW w:w="16327" w:type="dxa"/>
            <w:gridSpan w:val="10"/>
          </w:tcPr>
          <w:p w14:paraId="14AC45A6" w14:textId="77777777" w:rsidR="00ED237D" w:rsidRPr="00F23587" w:rsidRDefault="00ED237D" w:rsidP="00ED237D">
            <w:pPr>
              <w:ind w:left="180"/>
            </w:pPr>
          </w:p>
          <w:p w14:paraId="2FF89F2A" w14:textId="77777777" w:rsidR="00C42945" w:rsidRPr="00F23587" w:rsidRDefault="00C42945" w:rsidP="00ED237D">
            <w:pPr>
              <w:ind w:left="180"/>
            </w:pPr>
          </w:p>
          <w:p w14:paraId="6FFEC806" w14:textId="77777777" w:rsidR="00C42945" w:rsidRPr="00F23587" w:rsidRDefault="00C42945" w:rsidP="00ED237D">
            <w:pPr>
              <w:ind w:left="180"/>
            </w:pPr>
          </w:p>
          <w:p w14:paraId="1C4C901C" w14:textId="77777777" w:rsidR="00C42945" w:rsidRPr="00F23587" w:rsidRDefault="00C42945" w:rsidP="00ED237D">
            <w:pPr>
              <w:ind w:left="180"/>
            </w:pPr>
          </w:p>
          <w:p w14:paraId="40413473" w14:textId="77777777" w:rsidR="00C42945" w:rsidRPr="00F23587" w:rsidRDefault="00C42945" w:rsidP="00ED237D">
            <w:pPr>
              <w:ind w:left="180"/>
            </w:pPr>
          </w:p>
          <w:p w14:paraId="2085F50C" w14:textId="77777777" w:rsidR="00C42945" w:rsidRPr="00F23587" w:rsidRDefault="00C42945" w:rsidP="00ED237D">
            <w:pPr>
              <w:ind w:left="180"/>
            </w:pPr>
          </w:p>
          <w:p w14:paraId="4E169BF5" w14:textId="77777777" w:rsidR="00C42945" w:rsidRPr="00F23587" w:rsidRDefault="00C42945" w:rsidP="00ED237D">
            <w:pPr>
              <w:ind w:left="180"/>
            </w:pPr>
          </w:p>
          <w:p w14:paraId="5469F499" w14:textId="77777777" w:rsidR="00C42945" w:rsidRPr="00F23587" w:rsidRDefault="00C42945" w:rsidP="00ED237D">
            <w:pPr>
              <w:ind w:left="180"/>
            </w:pPr>
          </w:p>
          <w:p w14:paraId="7FD96F50" w14:textId="77777777" w:rsidR="00C42945" w:rsidRPr="00F23587" w:rsidRDefault="00C42945" w:rsidP="00ED237D">
            <w:pPr>
              <w:ind w:left="180"/>
            </w:pPr>
          </w:p>
          <w:p w14:paraId="5390592E" w14:textId="77777777" w:rsidR="00F23587" w:rsidRPr="00F23587" w:rsidRDefault="00F23587" w:rsidP="00ED237D">
            <w:pPr>
              <w:ind w:left="180"/>
            </w:pPr>
          </w:p>
          <w:p w14:paraId="63BA2322" w14:textId="77777777" w:rsidR="00F23587" w:rsidRPr="00F23587" w:rsidRDefault="00F23587" w:rsidP="00ED237D">
            <w:pPr>
              <w:ind w:left="180"/>
            </w:pPr>
          </w:p>
          <w:p w14:paraId="76E2BEFE" w14:textId="77777777" w:rsidR="00F23587" w:rsidRPr="00F23587" w:rsidRDefault="00F23587" w:rsidP="00ED237D">
            <w:pPr>
              <w:ind w:left="180"/>
            </w:pPr>
          </w:p>
          <w:p w14:paraId="73C608D6" w14:textId="77777777" w:rsidR="00F23587" w:rsidRPr="00F23587" w:rsidRDefault="00F23587" w:rsidP="00ED237D">
            <w:pPr>
              <w:ind w:left="180"/>
            </w:pPr>
          </w:p>
          <w:p w14:paraId="0F4DEF9C" w14:textId="77777777" w:rsidR="00F23587" w:rsidRPr="00F23587" w:rsidRDefault="00F23587" w:rsidP="00ED237D">
            <w:pPr>
              <w:ind w:left="180"/>
            </w:pPr>
          </w:p>
          <w:p w14:paraId="3BEDDC82" w14:textId="77777777" w:rsidR="00F23587" w:rsidRPr="00F23587" w:rsidRDefault="00F23587" w:rsidP="00ED237D">
            <w:pPr>
              <w:ind w:left="180"/>
            </w:pPr>
          </w:p>
          <w:p w14:paraId="2F3140D8" w14:textId="77777777" w:rsidR="00F23587" w:rsidRPr="00F23587" w:rsidRDefault="00F23587" w:rsidP="00ED237D">
            <w:pPr>
              <w:ind w:left="180"/>
            </w:pPr>
          </w:p>
          <w:p w14:paraId="0F915B3D" w14:textId="77777777" w:rsidR="00ED237D" w:rsidRPr="00F23587" w:rsidRDefault="00ED237D" w:rsidP="00ED237D">
            <w:pPr>
              <w:ind w:left="180"/>
            </w:pPr>
          </w:p>
        </w:tc>
      </w:tr>
    </w:tbl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4590"/>
        <w:gridCol w:w="1735"/>
        <w:gridCol w:w="1545"/>
        <w:gridCol w:w="1533"/>
        <w:gridCol w:w="1183"/>
        <w:gridCol w:w="1750"/>
        <w:gridCol w:w="1750"/>
        <w:gridCol w:w="1507"/>
      </w:tblGrid>
      <w:tr w:rsidR="00E65628" w:rsidRPr="00F23587" w14:paraId="6B18E505" w14:textId="77777777" w:rsidTr="00F103D5">
        <w:tc>
          <w:tcPr>
            <w:tcW w:w="15593" w:type="dxa"/>
            <w:gridSpan w:val="8"/>
          </w:tcPr>
          <w:p w14:paraId="2016D853" w14:textId="77777777" w:rsidR="00840B1D" w:rsidRPr="00F23587" w:rsidRDefault="00E65628" w:rsidP="00840B1D">
            <w:pPr>
              <w:ind w:left="180"/>
              <w:rPr>
                <w:b/>
              </w:rPr>
            </w:pPr>
            <w:r w:rsidRPr="00F23587">
              <w:rPr>
                <w:b/>
              </w:rPr>
              <w:t>V- IZVJEŠTAJ O IZRAĐENIM MEĐUNARODNIM UGOVORIMA  PLANIRANIH PROGRAMOM RADA</w:t>
            </w:r>
            <w:r w:rsidR="00840B1D" w:rsidRPr="00F23587">
              <w:rPr>
                <w:b/>
              </w:rPr>
              <w:t xml:space="preserve"> </w:t>
            </w:r>
          </w:p>
          <w:p w14:paraId="2775BE79" w14:textId="77777777" w:rsidR="00E65628" w:rsidRPr="00F23587" w:rsidRDefault="00E65628" w:rsidP="00840B1D">
            <w:pPr>
              <w:ind w:left="180"/>
              <w:rPr>
                <w:b/>
              </w:rPr>
            </w:pPr>
            <w:r w:rsidRPr="00F23587">
              <w:rPr>
                <w:b/>
              </w:rPr>
              <w:lastRenderedPageBreak/>
              <w:t xml:space="preserve">INSTITUTA ZA NESTALE OSOBE BOSNE I HERCEGOVINE </w:t>
            </w:r>
          </w:p>
        </w:tc>
      </w:tr>
      <w:tr w:rsidR="00D76C43" w:rsidRPr="00F23587" w14:paraId="4C5FBC2E" w14:textId="77777777" w:rsidTr="00F103D5">
        <w:tc>
          <w:tcPr>
            <w:tcW w:w="15593" w:type="dxa"/>
            <w:gridSpan w:val="8"/>
          </w:tcPr>
          <w:p w14:paraId="3516F271" w14:textId="77777777" w:rsidR="00D76C43" w:rsidRPr="00F23587" w:rsidRDefault="00D76C43" w:rsidP="00D76C43">
            <w:pPr>
              <w:rPr>
                <w:b/>
              </w:rPr>
            </w:pPr>
            <w:r w:rsidRPr="00F23587">
              <w:rPr>
                <w:b/>
              </w:rPr>
              <w:lastRenderedPageBreak/>
              <w:t>Opći cilj/ princip razvoja: Institucija ne usklađuje plan rada sa VM BiH</w:t>
            </w:r>
          </w:p>
        </w:tc>
      </w:tr>
      <w:tr w:rsidR="00D76C43" w:rsidRPr="00F23587" w14:paraId="4A41A055" w14:textId="77777777" w:rsidTr="00F103D5">
        <w:tc>
          <w:tcPr>
            <w:tcW w:w="15593" w:type="dxa"/>
            <w:gridSpan w:val="8"/>
          </w:tcPr>
          <w:p w14:paraId="0FC31678" w14:textId="77777777" w:rsidR="00D76C43" w:rsidRPr="00F23587" w:rsidRDefault="00D76C43" w:rsidP="00D76C43">
            <w:pPr>
              <w:rPr>
                <w:b/>
              </w:rPr>
            </w:pPr>
            <w:r w:rsidRPr="00F23587">
              <w:rPr>
                <w:b/>
              </w:rPr>
              <w:t>Strateški cilj: Ubrzati proces tranzicije i izgradnje kapaciteta</w:t>
            </w:r>
          </w:p>
        </w:tc>
      </w:tr>
      <w:tr w:rsidR="00D76C43" w:rsidRPr="00F23587" w14:paraId="5FD76898" w14:textId="77777777" w:rsidTr="00F103D5">
        <w:tc>
          <w:tcPr>
            <w:tcW w:w="15593" w:type="dxa"/>
            <w:gridSpan w:val="8"/>
          </w:tcPr>
          <w:p w14:paraId="52B0B332" w14:textId="77777777" w:rsidR="00D76C43" w:rsidRPr="00F23587" w:rsidRDefault="00D76C43" w:rsidP="00D76C43">
            <w:pPr>
              <w:rPr>
                <w:b/>
              </w:rPr>
            </w:pPr>
            <w:r w:rsidRPr="00F23587">
              <w:rPr>
                <w:b/>
              </w:rPr>
              <w:t>Srednjoročni cilj: Pronalazak osoba u/iz Bosne i Hercegovine nestalih u periodu od 30.04.1991. do 14.02.1996.godine</w:t>
            </w:r>
          </w:p>
        </w:tc>
      </w:tr>
      <w:tr w:rsidR="00D76C43" w:rsidRPr="00F23587" w14:paraId="2105D3AB" w14:textId="77777777" w:rsidTr="00F103D5">
        <w:tc>
          <w:tcPr>
            <w:tcW w:w="15593" w:type="dxa"/>
            <w:gridSpan w:val="8"/>
          </w:tcPr>
          <w:p w14:paraId="65D46A7B" w14:textId="77777777" w:rsidR="00D76C43" w:rsidRPr="00F23587" w:rsidRDefault="00D76C43" w:rsidP="00D76C43">
            <w:pPr>
              <w:rPr>
                <w:b/>
              </w:rPr>
            </w:pPr>
            <w:r w:rsidRPr="00F23587">
              <w:rPr>
                <w:b/>
              </w:rPr>
              <w:t>Specifični cilj: Pronalazak osoba u/iz Bosne i Hercegovine nestalih u periodu od 30.04.1991. do 14.02.1996.godine</w:t>
            </w:r>
          </w:p>
        </w:tc>
      </w:tr>
      <w:tr w:rsidR="00D76C43" w:rsidRPr="00F23587" w14:paraId="3E47FA43" w14:textId="77777777" w:rsidTr="00484CCD">
        <w:trPr>
          <w:trHeight w:val="330"/>
        </w:trPr>
        <w:tc>
          <w:tcPr>
            <w:tcW w:w="4765" w:type="dxa"/>
            <w:vMerge w:val="restart"/>
            <w:shd w:val="clear" w:color="auto" w:fill="F2F2F2" w:themeFill="background1" w:themeFillShade="F2"/>
          </w:tcPr>
          <w:p w14:paraId="7795F892" w14:textId="77777777" w:rsidR="00D76C43" w:rsidRPr="00F23587" w:rsidRDefault="00D76C43" w:rsidP="00D76C43">
            <w:pPr>
              <w:jc w:val="center"/>
              <w:rPr>
                <w:b/>
              </w:rPr>
            </w:pPr>
          </w:p>
          <w:p w14:paraId="4F6DF4BF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Naziv međunarodnog ugovora</w:t>
            </w:r>
          </w:p>
          <w:p w14:paraId="48531908" w14:textId="77777777" w:rsidR="00D76C43" w:rsidRPr="00F23587" w:rsidRDefault="00D76C43" w:rsidP="00D76C43">
            <w:pPr>
              <w:jc w:val="center"/>
              <w:rPr>
                <w:b/>
              </w:rPr>
            </w:pPr>
          </w:p>
          <w:p w14:paraId="36F412FC" w14:textId="77777777" w:rsidR="00D76C43" w:rsidRPr="00F23587" w:rsidRDefault="00D76C43" w:rsidP="00D76C43">
            <w:pPr>
              <w:jc w:val="center"/>
              <w:rPr>
                <w:b/>
              </w:rPr>
            </w:pPr>
          </w:p>
        </w:tc>
        <w:tc>
          <w:tcPr>
            <w:tcW w:w="3316" w:type="dxa"/>
            <w:gridSpan w:val="2"/>
            <w:shd w:val="clear" w:color="auto" w:fill="F2F2F2" w:themeFill="background1" w:themeFillShade="F2"/>
          </w:tcPr>
          <w:p w14:paraId="4C892789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Vrijeme provođenja</w:t>
            </w:r>
          </w:p>
        </w:tc>
        <w:tc>
          <w:tcPr>
            <w:tcW w:w="5990" w:type="dxa"/>
            <w:gridSpan w:val="4"/>
            <w:shd w:val="clear" w:color="auto" w:fill="F2F2F2" w:themeFill="background1" w:themeFillShade="F2"/>
          </w:tcPr>
          <w:p w14:paraId="44BE9261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Status međunarodnog ugovora zaključno sa 31.12.___-godine</w:t>
            </w:r>
          </w:p>
        </w:tc>
        <w:tc>
          <w:tcPr>
            <w:tcW w:w="1522" w:type="dxa"/>
            <w:vMerge w:val="restart"/>
            <w:shd w:val="clear" w:color="auto" w:fill="F2F2F2" w:themeFill="background1" w:themeFillShade="F2"/>
          </w:tcPr>
          <w:p w14:paraId="5E026462" w14:textId="77777777" w:rsidR="00D76C43" w:rsidRPr="00F23587" w:rsidRDefault="00D76C43" w:rsidP="00D76C43">
            <w:pPr>
              <w:spacing w:after="160" w:line="259" w:lineRule="auto"/>
              <w:jc w:val="center"/>
              <w:rPr>
                <w:b/>
              </w:rPr>
            </w:pPr>
          </w:p>
          <w:p w14:paraId="1CD1F8F1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Komentar</w:t>
            </w:r>
          </w:p>
        </w:tc>
      </w:tr>
      <w:tr w:rsidR="00D76C43" w:rsidRPr="00F23587" w14:paraId="18CA8C15" w14:textId="77777777" w:rsidTr="00484CCD">
        <w:trPr>
          <w:trHeight w:val="690"/>
        </w:trPr>
        <w:tc>
          <w:tcPr>
            <w:tcW w:w="4765" w:type="dxa"/>
            <w:vMerge/>
            <w:shd w:val="clear" w:color="auto" w:fill="F2F2F2" w:themeFill="background1" w:themeFillShade="F2"/>
          </w:tcPr>
          <w:p w14:paraId="6A58A578" w14:textId="77777777" w:rsidR="00D76C43" w:rsidRPr="00F23587" w:rsidRDefault="00D76C43" w:rsidP="00D76C43">
            <w:pPr>
              <w:jc w:val="center"/>
              <w:rPr>
                <w:b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14:paraId="65D0D138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Planirani kvartal provođenja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6F74F60" w14:textId="77777777" w:rsidR="00D76C43" w:rsidRPr="00F23587" w:rsidRDefault="00D76C43" w:rsidP="00CE3F21">
            <w:pPr>
              <w:jc w:val="center"/>
              <w:rPr>
                <w:b/>
              </w:rPr>
            </w:pPr>
            <w:r w:rsidRPr="00F23587">
              <w:rPr>
                <w:b/>
              </w:rPr>
              <w:t>Kvartal kada je aktivnost  provedena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8ACDD49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Upućen na VMBIH</w:t>
            </w:r>
          </w:p>
          <w:p w14:paraId="0AB1F0F8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(DA/NE)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67761D74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Usvojen na VMBIH</w:t>
            </w:r>
          </w:p>
          <w:p w14:paraId="3954D04B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(DA/NE)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05C7AF55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Procedura u Predsjedništvu BiH</w:t>
            </w:r>
          </w:p>
          <w:p w14:paraId="589DFA70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(DA/NE)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F9D7B1F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Usvojen u Predsjedništvu BIH</w:t>
            </w:r>
          </w:p>
          <w:p w14:paraId="17892556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(DA/NE)</w:t>
            </w:r>
          </w:p>
        </w:tc>
        <w:tc>
          <w:tcPr>
            <w:tcW w:w="1522" w:type="dxa"/>
            <w:vMerge/>
            <w:shd w:val="clear" w:color="auto" w:fill="F2F2F2" w:themeFill="background1" w:themeFillShade="F2"/>
          </w:tcPr>
          <w:p w14:paraId="036A1C41" w14:textId="77777777" w:rsidR="00D76C43" w:rsidRPr="00F23587" w:rsidRDefault="00D76C43" w:rsidP="00D76C43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D76C43" w:rsidRPr="00F23587" w14:paraId="7AA960FC" w14:textId="77777777" w:rsidTr="00484CCD">
        <w:tc>
          <w:tcPr>
            <w:tcW w:w="4765" w:type="dxa"/>
          </w:tcPr>
          <w:p w14:paraId="2D6CCA63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1</w:t>
            </w:r>
          </w:p>
        </w:tc>
        <w:tc>
          <w:tcPr>
            <w:tcW w:w="1756" w:type="dxa"/>
          </w:tcPr>
          <w:p w14:paraId="419CF9C1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2</w:t>
            </w:r>
          </w:p>
        </w:tc>
        <w:tc>
          <w:tcPr>
            <w:tcW w:w="1560" w:type="dxa"/>
          </w:tcPr>
          <w:p w14:paraId="3E262706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3</w:t>
            </w:r>
          </w:p>
        </w:tc>
        <w:tc>
          <w:tcPr>
            <w:tcW w:w="1559" w:type="dxa"/>
          </w:tcPr>
          <w:p w14:paraId="58B3D6B6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4</w:t>
            </w:r>
          </w:p>
        </w:tc>
        <w:tc>
          <w:tcPr>
            <w:tcW w:w="1187" w:type="dxa"/>
          </w:tcPr>
          <w:p w14:paraId="0640F38A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5</w:t>
            </w:r>
          </w:p>
        </w:tc>
        <w:tc>
          <w:tcPr>
            <w:tcW w:w="1622" w:type="dxa"/>
          </w:tcPr>
          <w:p w14:paraId="04CBAC6F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6</w:t>
            </w:r>
          </w:p>
        </w:tc>
        <w:tc>
          <w:tcPr>
            <w:tcW w:w="1622" w:type="dxa"/>
          </w:tcPr>
          <w:p w14:paraId="14A2D3C0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7</w:t>
            </w:r>
          </w:p>
        </w:tc>
        <w:tc>
          <w:tcPr>
            <w:tcW w:w="1522" w:type="dxa"/>
          </w:tcPr>
          <w:p w14:paraId="45A233C8" w14:textId="77777777" w:rsidR="00D76C43" w:rsidRPr="00F23587" w:rsidRDefault="00D76C43" w:rsidP="00D76C43">
            <w:pPr>
              <w:jc w:val="center"/>
              <w:rPr>
                <w:b/>
              </w:rPr>
            </w:pPr>
            <w:r w:rsidRPr="00F23587">
              <w:rPr>
                <w:b/>
              </w:rPr>
              <w:t>8</w:t>
            </w:r>
          </w:p>
        </w:tc>
      </w:tr>
      <w:tr w:rsidR="00D76C43" w:rsidRPr="00F23587" w14:paraId="0020F1CF" w14:textId="77777777" w:rsidTr="00F103D5">
        <w:tc>
          <w:tcPr>
            <w:tcW w:w="15593" w:type="dxa"/>
            <w:gridSpan w:val="8"/>
          </w:tcPr>
          <w:p w14:paraId="4EFAA1E0" w14:textId="77777777" w:rsidR="00D76C43" w:rsidRPr="00F23587" w:rsidRDefault="00D76C43" w:rsidP="00D76C43">
            <w:r w:rsidRPr="00F23587">
              <w:t>1.1.(naziv programa)</w:t>
            </w:r>
          </w:p>
        </w:tc>
      </w:tr>
      <w:tr w:rsidR="00D76C43" w:rsidRPr="00F23587" w14:paraId="32596D11" w14:textId="77777777" w:rsidTr="00F103D5">
        <w:tc>
          <w:tcPr>
            <w:tcW w:w="15593" w:type="dxa"/>
            <w:gridSpan w:val="8"/>
          </w:tcPr>
          <w:p w14:paraId="0AE9471A" w14:textId="77777777" w:rsidR="00D76C43" w:rsidRPr="00F23587" w:rsidRDefault="00D76C43" w:rsidP="00D76C43">
            <w:r w:rsidRPr="00F23587">
              <w:t>1.1.1.(naziv projekta)</w:t>
            </w:r>
          </w:p>
        </w:tc>
      </w:tr>
      <w:tr w:rsidR="00D76C43" w:rsidRPr="00F23587" w14:paraId="4EADF74D" w14:textId="77777777" w:rsidTr="00484CCD">
        <w:tc>
          <w:tcPr>
            <w:tcW w:w="4765" w:type="dxa"/>
          </w:tcPr>
          <w:p w14:paraId="2BB9E502" w14:textId="77777777" w:rsidR="00D76C43" w:rsidRPr="00F23587" w:rsidRDefault="0012753F" w:rsidP="0012753F">
            <w:r w:rsidRPr="00F23587">
              <w:t>1.1.1.1.</w:t>
            </w:r>
            <w:r w:rsidR="00D76C43" w:rsidRPr="00F23587">
              <w:t>(naziv međunarodnog ugovora)</w:t>
            </w:r>
          </w:p>
        </w:tc>
        <w:tc>
          <w:tcPr>
            <w:tcW w:w="1756" w:type="dxa"/>
          </w:tcPr>
          <w:p w14:paraId="15933F08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560" w:type="dxa"/>
          </w:tcPr>
          <w:p w14:paraId="4CE5C1B4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559" w:type="dxa"/>
          </w:tcPr>
          <w:p w14:paraId="2544E388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187" w:type="dxa"/>
          </w:tcPr>
          <w:p w14:paraId="5ED99EFD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622" w:type="dxa"/>
          </w:tcPr>
          <w:p w14:paraId="5DB52DCB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622" w:type="dxa"/>
          </w:tcPr>
          <w:p w14:paraId="0AAAB571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522" w:type="dxa"/>
          </w:tcPr>
          <w:p w14:paraId="51FF6AB8" w14:textId="77777777" w:rsidR="00D76C43" w:rsidRPr="00F23587" w:rsidRDefault="00D76C43" w:rsidP="00D76C43">
            <w:pPr>
              <w:jc w:val="center"/>
            </w:pPr>
          </w:p>
        </w:tc>
      </w:tr>
      <w:tr w:rsidR="00D76C43" w:rsidRPr="00F23587" w14:paraId="08E7DF14" w14:textId="77777777" w:rsidTr="00484CCD">
        <w:tc>
          <w:tcPr>
            <w:tcW w:w="4765" w:type="dxa"/>
          </w:tcPr>
          <w:p w14:paraId="02F51261" w14:textId="77777777" w:rsidR="00D76C43" w:rsidRPr="00F23587" w:rsidRDefault="0012753F" w:rsidP="0012753F">
            <w:r w:rsidRPr="00F23587">
              <w:t>1.1.1.2.(</w:t>
            </w:r>
            <w:r w:rsidR="00D76C43" w:rsidRPr="00F23587">
              <w:t>naziv međunarodnog ugovora)</w:t>
            </w:r>
          </w:p>
        </w:tc>
        <w:tc>
          <w:tcPr>
            <w:tcW w:w="1756" w:type="dxa"/>
          </w:tcPr>
          <w:p w14:paraId="0ECEB8B5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560" w:type="dxa"/>
          </w:tcPr>
          <w:p w14:paraId="2B90A457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559" w:type="dxa"/>
          </w:tcPr>
          <w:p w14:paraId="66FD6B01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187" w:type="dxa"/>
          </w:tcPr>
          <w:p w14:paraId="22FEF78E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622" w:type="dxa"/>
          </w:tcPr>
          <w:p w14:paraId="2A6BD588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622" w:type="dxa"/>
          </w:tcPr>
          <w:p w14:paraId="05EB9F2C" w14:textId="77777777" w:rsidR="00D76C43" w:rsidRPr="00F23587" w:rsidRDefault="00D76C43" w:rsidP="00D76C43">
            <w:pPr>
              <w:jc w:val="center"/>
            </w:pPr>
          </w:p>
        </w:tc>
        <w:tc>
          <w:tcPr>
            <w:tcW w:w="1522" w:type="dxa"/>
          </w:tcPr>
          <w:p w14:paraId="3B460984" w14:textId="77777777" w:rsidR="00D76C43" w:rsidRPr="00F23587" w:rsidRDefault="00D76C43" w:rsidP="00D76C43">
            <w:pPr>
              <w:jc w:val="center"/>
            </w:pPr>
          </w:p>
        </w:tc>
      </w:tr>
    </w:tbl>
    <w:tbl>
      <w:tblPr>
        <w:tblW w:w="16327" w:type="dxa"/>
        <w:tblInd w:w="-1139" w:type="dxa"/>
        <w:tblLook w:val="04A0" w:firstRow="1" w:lastRow="0" w:firstColumn="1" w:lastColumn="0" w:noHBand="0" w:noVBand="1"/>
      </w:tblPr>
      <w:tblGrid>
        <w:gridCol w:w="16327"/>
      </w:tblGrid>
      <w:tr w:rsidR="00DF2B04" w:rsidRPr="00F23587" w14:paraId="0DC9BB09" w14:textId="77777777" w:rsidTr="00DF2B04">
        <w:tc>
          <w:tcPr>
            <w:tcW w:w="16327" w:type="dxa"/>
          </w:tcPr>
          <w:p w14:paraId="4265B8BD" w14:textId="77777777" w:rsidR="00CE3F21" w:rsidRDefault="00CE3F21" w:rsidP="00C9474E">
            <w:pPr>
              <w:ind w:left="180"/>
            </w:pPr>
          </w:p>
          <w:p w14:paraId="536D0685" w14:textId="77777777" w:rsidR="00DF2B04" w:rsidRPr="00F23587" w:rsidRDefault="00DF2B04" w:rsidP="00C9474E">
            <w:pPr>
              <w:ind w:left="180"/>
            </w:pPr>
            <w:r w:rsidRPr="00F23587">
              <w:t>Programom rada Instituta za nestale osobe Bosne i Hercegovine za 20</w:t>
            </w:r>
            <w:r w:rsidR="00AE5E97" w:rsidRPr="00F23587">
              <w:t>20</w:t>
            </w:r>
            <w:r w:rsidRPr="00F23587">
              <w:t xml:space="preserve">.godinu  </w:t>
            </w:r>
            <w:r w:rsidRPr="00F23587">
              <w:rPr>
                <w:b/>
                <w:u w:val="single"/>
              </w:rPr>
              <w:t>nije planirano</w:t>
            </w:r>
            <w:r w:rsidRPr="00F23587">
              <w:t xml:space="preserve">  </w:t>
            </w:r>
            <w:proofErr w:type="spellStart"/>
            <w:r w:rsidRPr="00F23587">
              <w:t>zaključivanje</w:t>
            </w:r>
            <w:proofErr w:type="spellEnd"/>
            <w:r w:rsidRPr="00F23587">
              <w:t xml:space="preserve"> međunarodnih ugovora.</w:t>
            </w:r>
          </w:p>
          <w:p w14:paraId="18A010AF" w14:textId="77777777" w:rsidR="00ED237D" w:rsidRDefault="00ED237D" w:rsidP="00C9474E">
            <w:pPr>
              <w:ind w:left="180"/>
            </w:pPr>
          </w:p>
          <w:p w14:paraId="4FACC06C" w14:textId="77777777" w:rsidR="00F23587" w:rsidRDefault="00F23587" w:rsidP="00C9474E">
            <w:pPr>
              <w:ind w:left="180"/>
            </w:pPr>
          </w:p>
          <w:p w14:paraId="315EC793" w14:textId="77777777" w:rsidR="00F23587" w:rsidRDefault="00F23587" w:rsidP="00C9474E">
            <w:pPr>
              <w:ind w:left="180"/>
            </w:pPr>
          </w:p>
          <w:p w14:paraId="1C1B322A" w14:textId="77777777" w:rsidR="00F23587" w:rsidRDefault="00F23587" w:rsidP="00C9474E">
            <w:pPr>
              <w:ind w:left="180"/>
            </w:pPr>
          </w:p>
          <w:p w14:paraId="5A602DFA" w14:textId="77777777" w:rsidR="00F23587" w:rsidRDefault="00F23587" w:rsidP="00C9474E">
            <w:pPr>
              <w:ind w:left="180"/>
            </w:pPr>
          </w:p>
          <w:p w14:paraId="36D0BCEB" w14:textId="77777777" w:rsidR="00F23587" w:rsidRDefault="00F23587" w:rsidP="00C9474E">
            <w:pPr>
              <w:ind w:left="180"/>
            </w:pPr>
          </w:p>
          <w:p w14:paraId="00EC48D5" w14:textId="77777777" w:rsidR="00F23587" w:rsidRDefault="00F23587" w:rsidP="00C9474E">
            <w:pPr>
              <w:ind w:left="180"/>
            </w:pPr>
          </w:p>
          <w:p w14:paraId="03B2D578" w14:textId="77777777" w:rsidR="00CE3F21" w:rsidRDefault="00CE3F21" w:rsidP="00C9474E">
            <w:pPr>
              <w:ind w:left="180"/>
            </w:pPr>
          </w:p>
          <w:p w14:paraId="7EB41802" w14:textId="77777777" w:rsidR="00CE3F21" w:rsidRDefault="00CE3F21" w:rsidP="00C9474E">
            <w:pPr>
              <w:ind w:left="180"/>
            </w:pPr>
          </w:p>
          <w:p w14:paraId="5E0A11FF" w14:textId="77777777" w:rsidR="00CE3F21" w:rsidRDefault="00CE3F21" w:rsidP="00C9474E">
            <w:pPr>
              <w:ind w:left="180"/>
            </w:pPr>
          </w:p>
          <w:p w14:paraId="43615B99" w14:textId="77777777" w:rsidR="00CE3F21" w:rsidRDefault="00CE3F21" w:rsidP="00C9474E">
            <w:pPr>
              <w:ind w:left="180"/>
            </w:pPr>
          </w:p>
          <w:p w14:paraId="0903CF02" w14:textId="77777777" w:rsidR="00CE3F21" w:rsidRDefault="00CE3F21" w:rsidP="00C9474E">
            <w:pPr>
              <w:ind w:left="180"/>
            </w:pPr>
          </w:p>
          <w:p w14:paraId="72292BB5" w14:textId="77777777" w:rsidR="00F23587" w:rsidRDefault="00F23587" w:rsidP="00C9474E">
            <w:pPr>
              <w:ind w:left="180"/>
            </w:pPr>
          </w:p>
          <w:p w14:paraId="307EB07F" w14:textId="77777777" w:rsidR="00F23587" w:rsidRDefault="00F23587" w:rsidP="00C9474E">
            <w:pPr>
              <w:ind w:left="180"/>
            </w:pPr>
          </w:p>
          <w:p w14:paraId="0745C7CA" w14:textId="77777777" w:rsidR="00F23587" w:rsidRPr="00F23587" w:rsidRDefault="00F23587" w:rsidP="00C9474E">
            <w:pPr>
              <w:ind w:left="180"/>
            </w:pPr>
          </w:p>
          <w:p w14:paraId="1B0E4715" w14:textId="77777777" w:rsidR="00DF2B04" w:rsidRPr="00F23587" w:rsidRDefault="00DF2B04" w:rsidP="00C9474E">
            <w:pPr>
              <w:ind w:left="180"/>
            </w:pPr>
          </w:p>
        </w:tc>
      </w:tr>
      <w:tr w:rsidR="00DE01C8" w:rsidRPr="00CE3F21" w14:paraId="08D54CF8" w14:textId="77777777" w:rsidTr="00F47914">
        <w:tc>
          <w:tcPr>
            <w:tcW w:w="16327" w:type="dxa"/>
          </w:tcPr>
          <w:tbl>
            <w:tblPr>
              <w:tblStyle w:val="TableGrid"/>
              <w:tblW w:w="15131" w:type="dxa"/>
              <w:tblInd w:w="179" w:type="dxa"/>
              <w:tblLook w:val="04A0" w:firstRow="1" w:lastRow="0" w:firstColumn="1" w:lastColumn="0" w:noHBand="0" w:noVBand="1"/>
            </w:tblPr>
            <w:tblGrid>
              <w:gridCol w:w="4968"/>
              <w:gridCol w:w="1246"/>
              <w:gridCol w:w="23"/>
              <w:gridCol w:w="1234"/>
              <w:gridCol w:w="969"/>
              <w:gridCol w:w="1132"/>
              <w:gridCol w:w="1487"/>
              <w:gridCol w:w="1490"/>
              <w:gridCol w:w="2582"/>
            </w:tblGrid>
            <w:tr w:rsidR="00D76C43" w:rsidRPr="00CE3F21" w14:paraId="1ACB662D" w14:textId="77777777" w:rsidTr="00D76C43">
              <w:tc>
                <w:tcPr>
                  <w:tcW w:w="15131" w:type="dxa"/>
                  <w:gridSpan w:val="9"/>
                </w:tcPr>
                <w:p w14:paraId="0F1909E9" w14:textId="77777777" w:rsidR="00C9474E" w:rsidRPr="00CE3F21" w:rsidRDefault="00D76C43" w:rsidP="00D76C43">
                  <w:pPr>
                    <w:ind w:left="180"/>
                    <w:rPr>
                      <w:b/>
                    </w:rPr>
                  </w:pPr>
                  <w:r w:rsidRPr="00CE3F21">
                    <w:rPr>
                      <w:b/>
                    </w:rPr>
                    <w:t xml:space="preserve">VI -IZVJEŠTAJ O REALIZACIJI  JAVNIH INVESTICIJA  PLANIRANIH PROGRAMOM RADA </w:t>
                  </w:r>
                </w:p>
                <w:p w14:paraId="4E9DE79E" w14:textId="77777777" w:rsidR="00D76C43" w:rsidRPr="00CE3F21" w:rsidRDefault="00D76C43" w:rsidP="00C9474E">
                  <w:pPr>
                    <w:ind w:left="180"/>
                    <w:rPr>
                      <w:b/>
                    </w:rPr>
                  </w:pPr>
                  <w:r w:rsidRPr="00CE3F21">
                    <w:rPr>
                      <w:b/>
                    </w:rPr>
                    <w:lastRenderedPageBreak/>
                    <w:t xml:space="preserve">INSTITUTA ZA NESTALE OSOBE BOSNE I HERCEGOVINE </w:t>
                  </w:r>
                </w:p>
              </w:tc>
            </w:tr>
            <w:tr w:rsidR="00D76C43" w:rsidRPr="00CE3F21" w14:paraId="2522AF60" w14:textId="77777777" w:rsidTr="00D76C43">
              <w:tc>
                <w:tcPr>
                  <w:tcW w:w="15131" w:type="dxa"/>
                  <w:gridSpan w:val="9"/>
                </w:tcPr>
                <w:p w14:paraId="081B94A8" w14:textId="77777777" w:rsidR="00D76C43" w:rsidRPr="00CE3F21" w:rsidRDefault="00D76C43" w:rsidP="00D76C43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lastRenderedPageBreak/>
                    <w:t>Opći cilj/ princip razvoja: Institucija ne usklađuje plan rada sa VM BiH</w:t>
                  </w:r>
                </w:p>
              </w:tc>
            </w:tr>
            <w:tr w:rsidR="00D76C43" w:rsidRPr="00CE3F21" w14:paraId="4E5BAB17" w14:textId="77777777" w:rsidTr="00D76C43">
              <w:tc>
                <w:tcPr>
                  <w:tcW w:w="15131" w:type="dxa"/>
                  <w:gridSpan w:val="9"/>
                </w:tcPr>
                <w:p w14:paraId="3EAEAE26" w14:textId="77777777" w:rsidR="00D76C43" w:rsidRPr="00CE3F21" w:rsidRDefault="00D76C43" w:rsidP="00D76C43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Strateški cilj: Ubrzati proces tranzicije i izgradnje kapaciteta</w:t>
                  </w:r>
                </w:p>
              </w:tc>
            </w:tr>
            <w:tr w:rsidR="00D76C43" w:rsidRPr="00CE3F21" w14:paraId="2426E756" w14:textId="77777777" w:rsidTr="00D76C43">
              <w:tc>
                <w:tcPr>
                  <w:tcW w:w="15131" w:type="dxa"/>
                  <w:gridSpan w:val="9"/>
                </w:tcPr>
                <w:p w14:paraId="2DBF6F8B" w14:textId="77777777" w:rsidR="00D76C43" w:rsidRPr="00CE3F21" w:rsidRDefault="00D76C43" w:rsidP="00D76C43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Srednjoročni cilj: Pronalazak osoba u/iz Bosne i Hercegovine nestalih u periodu od 30.04.1991. do 14.02.1996.godine</w:t>
                  </w:r>
                </w:p>
              </w:tc>
            </w:tr>
            <w:tr w:rsidR="00D76C43" w:rsidRPr="00CE3F21" w14:paraId="38298F57" w14:textId="77777777" w:rsidTr="00D76C43">
              <w:tc>
                <w:tcPr>
                  <w:tcW w:w="15131" w:type="dxa"/>
                  <w:gridSpan w:val="9"/>
                </w:tcPr>
                <w:p w14:paraId="03859ECB" w14:textId="77777777" w:rsidR="00D76C43" w:rsidRPr="00CE3F21" w:rsidRDefault="00D76C43" w:rsidP="00D76C43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Specifični cilj: Pronalazak osoba u/iz Bosne i Hercegovine nestalih u periodu od 30.04.1991. do 14.02.1996.godine</w:t>
                  </w:r>
                </w:p>
              </w:tc>
            </w:tr>
            <w:tr w:rsidR="00D76C43" w:rsidRPr="00CE3F21" w14:paraId="34B081F4" w14:textId="77777777" w:rsidTr="00432255">
              <w:trPr>
                <w:trHeight w:val="645"/>
              </w:trPr>
              <w:tc>
                <w:tcPr>
                  <w:tcW w:w="4990" w:type="dxa"/>
                  <w:vMerge w:val="restart"/>
                  <w:shd w:val="clear" w:color="auto" w:fill="F2F2F2" w:themeFill="background1" w:themeFillShade="F2"/>
                </w:tcPr>
                <w:p w14:paraId="2D6CBBEC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</w:p>
                <w:p w14:paraId="3F7212DE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</w:p>
                <w:p w14:paraId="164AA917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Naziv projekta javnih investicija</w:t>
                  </w:r>
                </w:p>
                <w:p w14:paraId="4945940C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</w:p>
                <w:p w14:paraId="0D4D6F26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</w:p>
                <w:p w14:paraId="6EADAFA9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50" w:type="dxa"/>
                  <w:gridSpan w:val="3"/>
                  <w:shd w:val="clear" w:color="auto" w:fill="F2F2F2" w:themeFill="background1" w:themeFillShade="F2"/>
                </w:tcPr>
                <w:p w14:paraId="1838E2B4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Vrijeme realizacije</w:t>
                  </w:r>
                </w:p>
              </w:tc>
              <w:tc>
                <w:tcPr>
                  <w:tcW w:w="5100" w:type="dxa"/>
                  <w:gridSpan w:val="4"/>
                  <w:vMerge w:val="restart"/>
                  <w:shd w:val="clear" w:color="auto" w:fill="F2F2F2" w:themeFill="background1" w:themeFillShade="F2"/>
                </w:tcPr>
                <w:p w14:paraId="595DD40D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Status</w:t>
                  </w:r>
                </w:p>
                <w:p w14:paraId="7F9CED8E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(ZAVRŠENO</w:t>
                  </w:r>
                  <w:r w:rsidR="00432255" w:rsidRPr="00CE3F21">
                    <w:rPr>
                      <w:b/>
                    </w:rPr>
                    <w:t>,</w:t>
                  </w:r>
                  <w:r w:rsidRPr="00CE3F21">
                    <w:rPr>
                      <w:b/>
                    </w:rPr>
                    <w:t xml:space="preserve"> U POSTUPKU</w:t>
                  </w:r>
                  <w:r w:rsidR="00432255" w:rsidRPr="00CE3F21">
                    <w:rPr>
                      <w:b/>
                    </w:rPr>
                    <w:t>,</w:t>
                  </w:r>
                  <w:r w:rsidRPr="00CE3F21">
                    <w:rPr>
                      <w:b/>
                    </w:rPr>
                    <w:t xml:space="preserve"> ODLOŽENO</w:t>
                  </w:r>
                  <w:r w:rsidR="00432255" w:rsidRPr="00CE3F21">
                    <w:rPr>
                      <w:b/>
                    </w:rPr>
                    <w:t>,</w:t>
                  </w:r>
                  <w:r w:rsidRPr="00CE3F21">
                    <w:rPr>
                      <w:b/>
                    </w:rPr>
                    <w:t xml:space="preserve"> PREKINUTO)</w:t>
                  </w:r>
                </w:p>
              </w:tc>
              <w:tc>
                <w:tcPr>
                  <w:tcW w:w="2591" w:type="dxa"/>
                  <w:vMerge w:val="restart"/>
                  <w:shd w:val="clear" w:color="auto" w:fill="F2F2F2" w:themeFill="background1" w:themeFillShade="F2"/>
                </w:tcPr>
                <w:p w14:paraId="425263EF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</w:p>
                <w:p w14:paraId="6DD0B1B2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</w:p>
                <w:p w14:paraId="7A3DECC0" w14:textId="77777777" w:rsidR="00D76C43" w:rsidRPr="00CE3F21" w:rsidRDefault="00D76C43" w:rsidP="00432255">
                  <w:pPr>
                    <w:jc w:val="center"/>
                    <w:rPr>
                      <w:b/>
                    </w:rPr>
                  </w:pPr>
                  <w:r w:rsidRPr="00CE3F21">
                    <w:rPr>
                      <w:b/>
                    </w:rPr>
                    <w:t>Komentar</w:t>
                  </w:r>
                </w:p>
              </w:tc>
            </w:tr>
            <w:tr w:rsidR="00D76C43" w:rsidRPr="00CE3F21" w14:paraId="3ADB9151" w14:textId="77777777" w:rsidTr="00432255">
              <w:trPr>
                <w:trHeight w:val="1005"/>
              </w:trPr>
              <w:tc>
                <w:tcPr>
                  <w:tcW w:w="4990" w:type="dxa"/>
                  <w:vMerge/>
                </w:tcPr>
                <w:p w14:paraId="72763F62" w14:textId="77777777" w:rsidR="00D76C43" w:rsidRPr="00CE3F21" w:rsidRDefault="00D76C43" w:rsidP="00D76C43">
                  <w:pPr>
                    <w:rPr>
                      <w:b/>
                    </w:rPr>
                  </w:pPr>
                </w:p>
              </w:tc>
              <w:tc>
                <w:tcPr>
                  <w:tcW w:w="1215" w:type="dxa"/>
                  <w:gridSpan w:val="2"/>
                  <w:shd w:val="clear" w:color="auto" w:fill="F2F2F2" w:themeFill="background1" w:themeFillShade="F2"/>
                </w:tcPr>
                <w:p w14:paraId="3D6A9953" w14:textId="77777777" w:rsidR="00D76C43" w:rsidRPr="00CE3F21" w:rsidRDefault="00D76C43" w:rsidP="00D76C43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Očekivani period realizacije</w:t>
                  </w:r>
                </w:p>
              </w:tc>
              <w:tc>
                <w:tcPr>
                  <w:tcW w:w="1235" w:type="dxa"/>
                  <w:shd w:val="clear" w:color="auto" w:fill="F2F2F2" w:themeFill="background1" w:themeFillShade="F2"/>
                </w:tcPr>
                <w:p w14:paraId="3D88CF68" w14:textId="77777777" w:rsidR="00D76C43" w:rsidRPr="00CE3F21" w:rsidRDefault="00D76C43" w:rsidP="00D76C43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Završen</w:t>
                  </w:r>
                </w:p>
                <w:p w14:paraId="4489A2D8" w14:textId="77777777" w:rsidR="00D76C43" w:rsidRPr="00CE3F21" w:rsidRDefault="00D76C43" w:rsidP="00D76C43">
                  <w:pPr>
                    <w:rPr>
                      <w:b/>
                    </w:rPr>
                  </w:pPr>
                  <w:r w:rsidRPr="00CE3F21">
                    <w:rPr>
                      <w:b/>
                    </w:rPr>
                    <w:t>(DA/NE)</w:t>
                  </w:r>
                </w:p>
              </w:tc>
              <w:tc>
                <w:tcPr>
                  <w:tcW w:w="5100" w:type="dxa"/>
                  <w:gridSpan w:val="4"/>
                  <w:vMerge/>
                </w:tcPr>
                <w:p w14:paraId="6F391F0B" w14:textId="77777777" w:rsidR="00D76C43" w:rsidRPr="00CE3F21" w:rsidRDefault="00D76C43" w:rsidP="00D76C43">
                  <w:pPr>
                    <w:rPr>
                      <w:b/>
                    </w:rPr>
                  </w:pPr>
                </w:p>
              </w:tc>
              <w:tc>
                <w:tcPr>
                  <w:tcW w:w="2591" w:type="dxa"/>
                  <w:vMerge/>
                </w:tcPr>
                <w:p w14:paraId="7D68DC62" w14:textId="77777777" w:rsidR="00D76C43" w:rsidRPr="00CE3F21" w:rsidRDefault="00D76C43" w:rsidP="00D76C43">
                  <w:pPr>
                    <w:rPr>
                      <w:b/>
                    </w:rPr>
                  </w:pPr>
                </w:p>
              </w:tc>
            </w:tr>
            <w:tr w:rsidR="00D76C43" w:rsidRPr="00CE3F21" w14:paraId="247BEECC" w14:textId="77777777" w:rsidTr="00D76C43">
              <w:tc>
                <w:tcPr>
                  <w:tcW w:w="15131" w:type="dxa"/>
                  <w:gridSpan w:val="9"/>
                </w:tcPr>
                <w:p w14:paraId="146291B1" w14:textId="77777777" w:rsidR="00D76C43" w:rsidRPr="00CE3F21" w:rsidRDefault="00D76C43" w:rsidP="00D76C43">
                  <w:r w:rsidRPr="00CE3F21">
                    <w:t>1.1.(naziv programa)</w:t>
                  </w:r>
                </w:p>
              </w:tc>
            </w:tr>
            <w:tr w:rsidR="00D76C43" w:rsidRPr="00CE3F21" w14:paraId="1D64EC6C" w14:textId="77777777" w:rsidTr="00D76C43">
              <w:tc>
                <w:tcPr>
                  <w:tcW w:w="15131" w:type="dxa"/>
                  <w:gridSpan w:val="9"/>
                </w:tcPr>
                <w:p w14:paraId="4184C421" w14:textId="77777777" w:rsidR="00D76C43" w:rsidRPr="00CE3F21" w:rsidRDefault="00D76C43" w:rsidP="00D76C43">
                  <w:r w:rsidRPr="00CE3F21">
                    <w:t>1.1.1.(naziv projekta)</w:t>
                  </w:r>
                </w:p>
              </w:tc>
            </w:tr>
            <w:tr w:rsidR="00D76C43" w:rsidRPr="00CE3F21" w14:paraId="127782F8" w14:textId="77777777" w:rsidTr="00D76C43">
              <w:tc>
                <w:tcPr>
                  <w:tcW w:w="4990" w:type="dxa"/>
                </w:tcPr>
                <w:p w14:paraId="43CEBB2F" w14:textId="77777777" w:rsidR="00D76C43" w:rsidRPr="00CE3F21" w:rsidRDefault="00432255" w:rsidP="0012753F">
                  <w:r w:rsidRPr="00CE3F21">
                    <w:t>1.1.1.</w:t>
                  </w:r>
                  <w:r w:rsidR="0012753F" w:rsidRPr="00CE3F21">
                    <w:t>1</w:t>
                  </w:r>
                  <w:r w:rsidRPr="00CE3F21">
                    <w:t>.</w:t>
                  </w:r>
                  <w:r w:rsidR="00D76C43" w:rsidRPr="00CE3F21">
                    <w:t>(naziv projekta javnih investicija)</w:t>
                  </w:r>
                </w:p>
              </w:tc>
              <w:tc>
                <w:tcPr>
                  <w:tcW w:w="1194" w:type="dxa"/>
                </w:tcPr>
                <w:p w14:paraId="6CEFCCA5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1256" w:type="dxa"/>
                  <w:gridSpan w:val="2"/>
                </w:tcPr>
                <w:p w14:paraId="468AB639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972" w:type="dxa"/>
                </w:tcPr>
                <w:p w14:paraId="527D9248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1137" w:type="dxa"/>
                </w:tcPr>
                <w:p w14:paraId="3661AB60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1494" w:type="dxa"/>
                </w:tcPr>
                <w:p w14:paraId="5BF845D5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1497" w:type="dxa"/>
                </w:tcPr>
                <w:p w14:paraId="5E9BF2EA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2591" w:type="dxa"/>
                </w:tcPr>
                <w:p w14:paraId="1FC2E27C" w14:textId="77777777" w:rsidR="00D76C43" w:rsidRPr="00CE3F21" w:rsidRDefault="00D76C43" w:rsidP="00D76C43">
                  <w:pPr>
                    <w:jc w:val="center"/>
                  </w:pPr>
                </w:p>
              </w:tc>
            </w:tr>
            <w:tr w:rsidR="00D76C43" w:rsidRPr="00CE3F21" w14:paraId="31EFD9F6" w14:textId="77777777" w:rsidTr="00D76C43">
              <w:tc>
                <w:tcPr>
                  <w:tcW w:w="4990" w:type="dxa"/>
                </w:tcPr>
                <w:p w14:paraId="0DE8285B" w14:textId="77777777" w:rsidR="00D76C43" w:rsidRPr="00CE3F21" w:rsidRDefault="00432255" w:rsidP="0012753F">
                  <w:r w:rsidRPr="00CE3F21">
                    <w:t>1.1.1.</w:t>
                  </w:r>
                  <w:r w:rsidR="0012753F" w:rsidRPr="00CE3F21">
                    <w:t>2</w:t>
                  </w:r>
                  <w:r w:rsidRPr="00CE3F21">
                    <w:t>.</w:t>
                  </w:r>
                  <w:r w:rsidR="00D76C43" w:rsidRPr="00CE3F21">
                    <w:t xml:space="preserve">(naziv </w:t>
                  </w:r>
                  <w:r w:rsidRPr="00CE3F21">
                    <w:t>projekta javnih investicija)</w:t>
                  </w:r>
                </w:p>
              </w:tc>
              <w:tc>
                <w:tcPr>
                  <w:tcW w:w="1194" w:type="dxa"/>
                </w:tcPr>
                <w:p w14:paraId="1E60F0BF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1256" w:type="dxa"/>
                  <w:gridSpan w:val="2"/>
                </w:tcPr>
                <w:p w14:paraId="08008005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972" w:type="dxa"/>
                </w:tcPr>
                <w:p w14:paraId="163BEEE0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1137" w:type="dxa"/>
                </w:tcPr>
                <w:p w14:paraId="1447BD8D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1494" w:type="dxa"/>
                </w:tcPr>
                <w:p w14:paraId="1F3F8A37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1497" w:type="dxa"/>
                </w:tcPr>
                <w:p w14:paraId="63A6181A" w14:textId="77777777" w:rsidR="00D76C43" w:rsidRPr="00CE3F21" w:rsidRDefault="00D76C43" w:rsidP="00D76C43">
                  <w:pPr>
                    <w:jc w:val="center"/>
                  </w:pPr>
                </w:p>
              </w:tc>
              <w:tc>
                <w:tcPr>
                  <w:tcW w:w="2591" w:type="dxa"/>
                </w:tcPr>
                <w:p w14:paraId="75F77928" w14:textId="77777777" w:rsidR="00D76C43" w:rsidRPr="00CE3F21" w:rsidRDefault="00D76C43" w:rsidP="00D76C43">
                  <w:pPr>
                    <w:jc w:val="center"/>
                  </w:pPr>
                </w:p>
              </w:tc>
            </w:tr>
          </w:tbl>
          <w:p w14:paraId="59897188" w14:textId="77777777" w:rsidR="00D76C43" w:rsidRPr="00CE3F21" w:rsidRDefault="00D76C43" w:rsidP="00DE01C8">
            <w:pPr>
              <w:ind w:left="180"/>
            </w:pPr>
          </w:p>
        </w:tc>
      </w:tr>
    </w:tbl>
    <w:p w14:paraId="79F68268" w14:textId="77777777" w:rsidR="00CE3F21" w:rsidRPr="00CE3F21" w:rsidRDefault="00CE3F21" w:rsidP="00840B1D">
      <w:pPr>
        <w:ind w:left="-851"/>
      </w:pPr>
    </w:p>
    <w:p w14:paraId="00F5D874" w14:textId="77777777" w:rsidR="00DF2B04" w:rsidRPr="00CE3F21" w:rsidRDefault="00DF2B04" w:rsidP="00840B1D">
      <w:pPr>
        <w:ind w:left="-851"/>
      </w:pPr>
      <w:r w:rsidRPr="00CE3F21">
        <w:t>Programom rada Instituta za nestale osobe Bosne i Hercegovine za 20</w:t>
      </w:r>
      <w:r w:rsidR="00AE66DB" w:rsidRPr="00CE3F21">
        <w:t>20</w:t>
      </w:r>
      <w:r w:rsidRPr="00CE3F21">
        <w:t xml:space="preserve">.godinu  </w:t>
      </w:r>
      <w:r w:rsidRPr="00CE3F21">
        <w:rPr>
          <w:b/>
          <w:u w:val="single"/>
        </w:rPr>
        <w:t>nisu planirane</w:t>
      </w:r>
      <w:r w:rsidRPr="00CE3F21">
        <w:t xml:space="preserve">  javne investicije.</w:t>
      </w:r>
    </w:p>
    <w:p w14:paraId="727D999A" w14:textId="77777777" w:rsidR="00C55386" w:rsidRPr="00CE3F21" w:rsidRDefault="00C55386" w:rsidP="00432255">
      <w:pPr>
        <w:ind w:left="-851" w:right="141"/>
        <w:rPr>
          <w:b/>
          <w:u w:val="single"/>
        </w:rPr>
      </w:pPr>
    </w:p>
    <w:p w14:paraId="577AA361" w14:textId="77777777" w:rsidR="00CE3F21" w:rsidRDefault="00CE3F21" w:rsidP="00432255">
      <w:pPr>
        <w:ind w:left="-851" w:right="141"/>
        <w:rPr>
          <w:b/>
          <w:sz w:val="22"/>
          <w:szCs w:val="22"/>
          <w:u w:val="single"/>
        </w:rPr>
      </w:pPr>
    </w:p>
    <w:p w14:paraId="16DA9DFA" w14:textId="77777777" w:rsidR="00CE3F21" w:rsidRPr="00484CCD" w:rsidRDefault="00CE3F21" w:rsidP="00432255">
      <w:pPr>
        <w:ind w:left="-851" w:right="141"/>
        <w:rPr>
          <w:b/>
          <w:sz w:val="22"/>
          <w:szCs w:val="22"/>
          <w:u w:val="single"/>
        </w:rPr>
      </w:pPr>
    </w:p>
    <w:p w14:paraId="5BEB3C36" w14:textId="77777777" w:rsidR="009622A0" w:rsidRPr="00277751" w:rsidRDefault="009622A0" w:rsidP="00432255">
      <w:pPr>
        <w:ind w:left="-851" w:right="141"/>
        <w:rPr>
          <w:b/>
          <w:u w:val="single"/>
        </w:rPr>
      </w:pPr>
      <w:r w:rsidRPr="00277751">
        <w:rPr>
          <w:b/>
          <w:u w:val="single"/>
        </w:rPr>
        <w:t xml:space="preserve">VII IZVJEŠTAJ O PROVEDENIM KONSULTACIJAMA  KOD IZRADE  </w:t>
      </w:r>
      <w:r w:rsidR="00A21333" w:rsidRPr="00277751">
        <w:rPr>
          <w:b/>
          <w:u w:val="single"/>
        </w:rPr>
        <w:t>GODIŠNJEG IZVJEŠTAJA O RADU INSTITUTA ZA NESTALE OSOBE</w:t>
      </w:r>
      <w:r w:rsidRPr="00277751">
        <w:rPr>
          <w:b/>
          <w:u w:val="single"/>
        </w:rPr>
        <w:t xml:space="preserve"> BIH</w:t>
      </w:r>
    </w:p>
    <w:p w14:paraId="6A71CCE4" w14:textId="77777777" w:rsidR="009622A0" w:rsidRPr="00277751" w:rsidRDefault="009622A0" w:rsidP="00432255">
      <w:pPr>
        <w:ind w:left="-851" w:right="141"/>
      </w:pPr>
    </w:p>
    <w:p w14:paraId="2ACE2889" w14:textId="77777777" w:rsidR="006B0178" w:rsidRPr="00277751" w:rsidRDefault="0018151F" w:rsidP="00432255">
      <w:pPr>
        <w:ind w:left="-851" w:right="141"/>
        <w:jc w:val="both"/>
      </w:pPr>
      <w:r w:rsidRPr="00277751">
        <w:t xml:space="preserve">Institut za nestale osobe Bosne i Hercegovine je  u skladu sa članom </w:t>
      </w:r>
      <w:r w:rsidR="006032F0" w:rsidRPr="00277751">
        <w:t>5</w:t>
      </w:r>
      <w:r w:rsidR="008251A8">
        <w:t xml:space="preserve">. </w:t>
      </w:r>
      <w:r w:rsidRPr="00277751">
        <w:t>stav (1)  tačka f) Instrukcije o načinu pri</w:t>
      </w:r>
      <w:r w:rsidR="008251A8">
        <w:t xml:space="preserve">preme godišnjeg programa  rada </w:t>
      </w:r>
      <w:r w:rsidRPr="00277751">
        <w:t xml:space="preserve">i izvještavanja o radu  institucija Bosne i Hercegovine  („Službeni glasnik  BiH“ broj 45/15), obavio  </w:t>
      </w:r>
      <w:r w:rsidR="00FE2EFB">
        <w:t>e-</w:t>
      </w:r>
      <w:r w:rsidRPr="00277751">
        <w:t xml:space="preserve">konsultacije u postupku  pripreme  </w:t>
      </w:r>
      <w:r w:rsidR="002A1D93" w:rsidRPr="00277751">
        <w:t>i izrade Izvještaja</w:t>
      </w:r>
      <w:r w:rsidRPr="00277751">
        <w:t xml:space="preserve"> Instituta za nestale osobe Bosne</w:t>
      </w:r>
      <w:r w:rsidR="0041314D" w:rsidRPr="00277751">
        <w:t xml:space="preserve"> </w:t>
      </w:r>
      <w:r w:rsidR="002A1D93" w:rsidRPr="00277751">
        <w:t>i Hercegovine za 20</w:t>
      </w:r>
      <w:r w:rsidR="00AE66DB">
        <w:t>20</w:t>
      </w:r>
      <w:r w:rsidRPr="00277751">
        <w:t>.</w:t>
      </w:r>
      <w:r w:rsidR="006B0178" w:rsidRPr="00277751">
        <w:t>godinu.</w:t>
      </w:r>
    </w:p>
    <w:p w14:paraId="41F5E437" w14:textId="77777777" w:rsidR="006B0178" w:rsidRPr="00277751" w:rsidRDefault="006B0178" w:rsidP="00D76C43">
      <w:pPr>
        <w:ind w:left="-851" w:right="-426"/>
        <w:jc w:val="both"/>
      </w:pPr>
    </w:p>
    <w:p w14:paraId="1140E0A9" w14:textId="77777777" w:rsidR="001D6386" w:rsidRPr="00277751" w:rsidRDefault="009622A0" w:rsidP="009622A0">
      <w:pPr>
        <w:ind w:left="7788" w:firstLine="708"/>
      </w:pPr>
      <w:r w:rsidRPr="00277751">
        <w:t xml:space="preserve">Predsjedavajući </w:t>
      </w:r>
      <w:r w:rsidR="001D6386" w:rsidRPr="00277751">
        <w:t>privremenog Upravnog odbora</w:t>
      </w:r>
    </w:p>
    <w:p w14:paraId="00F75C3C" w14:textId="77777777" w:rsidR="00533575" w:rsidRDefault="00533575" w:rsidP="009622A0">
      <w:pPr>
        <w:ind w:left="7788" w:firstLine="708"/>
      </w:pPr>
    </w:p>
    <w:p w14:paraId="2C9A1D0D" w14:textId="77777777" w:rsidR="009E4214" w:rsidRPr="00277751" w:rsidRDefault="00ED237D" w:rsidP="009622A0">
      <w:pPr>
        <w:ind w:left="7788" w:firstLine="708"/>
      </w:pPr>
      <w:r>
        <w:t xml:space="preserve">     </w:t>
      </w:r>
      <w:r w:rsidR="00533575">
        <w:t xml:space="preserve">        </w:t>
      </w:r>
      <w:r w:rsidR="00ED4325">
        <w:t xml:space="preserve">   </w:t>
      </w:r>
      <w:r w:rsidR="00533575">
        <w:t xml:space="preserve">     </w:t>
      </w:r>
      <w:r w:rsidR="001D6386" w:rsidRPr="00277751">
        <w:t xml:space="preserve">      </w:t>
      </w:r>
      <w:proofErr w:type="spellStart"/>
      <w:r>
        <w:t>Kemo</w:t>
      </w:r>
      <w:proofErr w:type="spellEnd"/>
      <w:r>
        <w:t xml:space="preserve"> Sarač</w:t>
      </w:r>
    </w:p>
    <w:sectPr w:rsidR="009E4214" w:rsidRPr="00277751" w:rsidSect="00593B8F">
      <w:footerReference w:type="default" r:id="rId10"/>
      <w:pgSz w:w="16838" w:h="11906" w:orient="landscape"/>
      <w:pgMar w:top="851" w:right="1245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5A56" w14:textId="77777777" w:rsidR="008E0C97" w:rsidRDefault="008E0C97" w:rsidP="00C766BB">
      <w:r>
        <w:separator/>
      </w:r>
    </w:p>
  </w:endnote>
  <w:endnote w:type="continuationSeparator" w:id="0">
    <w:p w14:paraId="2031B604" w14:textId="77777777" w:rsidR="008E0C97" w:rsidRDefault="008E0C97" w:rsidP="00C7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0830245"/>
      <w:docPartObj>
        <w:docPartGallery w:val="Page Numbers (Bottom of Page)"/>
        <w:docPartUnique/>
      </w:docPartObj>
    </w:sdtPr>
    <w:sdtEndPr/>
    <w:sdtContent>
      <w:p w14:paraId="2E67EA7A" w14:textId="77777777" w:rsidR="00F23587" w:rsidRDefault="00F235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29B">
          <w:rPr>
            <w:noProof/>
          </w:rPr>
          <w:t>9</w:t>
        </w:r>
        <w:r>
          <w:fldChar w:fldCharType="end"/>
        </w:r>
      </w:p>
    </w:sdtContent>
  </w:sdt>
  <w:p w14:paraId="639B171F" w14:textId="77777777" w:rsidR="00F23587" w:rsidRDefault="00F23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4C981" w14:textId="77777777" w:rsidR="008E0C97" w:rsidRDefault="008E0C97" w:rsidP="00C766BB">
      <w:r>
        <w:separator/>
      </w:r>
    </w:p>
  </w:footnote>
  <w:footnote w:type="continuationSeparator" w:id="0">
    <w:p w14:paraId="622BC540" w14:textId="77777777" w:rsidR="008E0C97" w:rsidRDefault="008E0C97" w:rsidP="00C7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0"/>
      </v:shape>
    </w:pict>
  </w:numPicBullet>
  <w:abstractNum w:abstractNumId="0" w15:restartNumberingAfterBreak="0">
    <w:nsid w:val="004B68B6"/>
    <w:multiLevelType w:val="hybridMultilevel"/>
    <w:tmpl w:val="49C8F240"/>
    <w:lvl w:ilvl="0" w:tplc="604E2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C91"/>
    <w:multiLevelType w:val="hybridMultilevel"/>
    <w:tmpl w:val="B1242B6C"/>
    <w:lvl w:ilvl="0" w:tplc="0ADE364E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1730"/>
    <w:multiLevelType w:val="hybridMultilevel"/>
    <w:tmpl w:val="A20891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490C"/>
    <w:multiLevelType w:val="hybridMultilevel"/>
    <w:tmpl w:val="DA44DDC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30F5F14"/>
    <w:multiLevelType w:val="hybridMultilevel"/>
    <w:tmpl w:val="8A8C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2ADC"/>
    <w:multiLevelType w:val="hybridMultilevel"/>
    <w:tmpl w:val="4BF4606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8CA"/>
    <w:multiLevelType w:val="hybridMultilevel"/>
    <w:tmpl w:val="0948510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52D4"/>
    <w:multiLevelType w:val="hybridMultilevel"/>
    <w:tmpl w:val="28DE3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5342"/>
    <w:multiLevelType w:val="hybridMultilevel"/>
    <w:tmpl w:val="C51E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D7D02"/>
    <w:multiLevelType w:val="multilevel"/>
    <w:tmpl w:val="0FB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7334D"/>
    <w:multiLevelType w:val="multilevel"/>
    <w:tmpl w:val="93104EE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525629"/>
    <w:multiLevelType w:val="hybridMultilevel"/>
    <w:tmpl w:val="69487D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C2731"/>
    <w:multiLevelType w:val="multilevel"/>
    <w:tmpl w:val="662E80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75F49B6"/>
    <w:multiLevelType w:val="hybridMultilevel"/>
    <w:tmpl w:val="88F6AA30"/>
    <w:lvl w:ilvl="0" w:tplc="DA64A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D047E"/>
    <w:multiLevelType w:val="hybridMultilevel"/>
    <w:tmpl w:val="0AF2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41C1C"/>
    <w:multiLevelType w:val="hybridMultilevel"/>
    <w:tmpl w:val="443406E4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2D0557"/>
    <w:multiLevelType w:val="hybridMultilevel"/>
    <w:tmpl w:val="3578C83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31D6D"/>
    <w:multiLevelType w:val="hybridMultilevel"/>
    <w:tmpl w:val="462C97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A2F18"/>
    <w:multiLevelType w:val="hybridMultilevel"/>
    <w:tmpl w:val="BE2C56D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10238"/>
    <w:multiLevelType w:val="multilevel"/>
    <w:tmpl w:val="94B0A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07D56"/>
    <w:multiLevelType w:val="multilevel"/>
    <w:tmpl w:val="51268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8605179"/>
    <w:multiLevelType w:val="hybridMultilevel"/>
    <w:tmpl w:val="9BEAE68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566F2"/>
    <w:multiLevelType w:val="hybridMultilevel"/>
    <w:tmpl w:val="1B724F4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AC77570"/>
    <w:multiLevelType w:val="hybridMultilevel"/>
    <w:tmpl w:val="52AE787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F7249"/>
    <w:multiLevelType w:val="multilevel"/>
    <w:tmpl w:val="9F9817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CE284B"/>
    <w:multiLevelType w:val="multilevel"/>
    <w:tmpl w:val="1F4640A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17"/>
  </w:num>
  <w:num w:numId="5">
    <w:abstractNumId w:val="3"/>
  </w:num>
  <w:num w:numId="6">
    <w:abstractNumId w:val="8"/>
  </w:num>
  <w:num w:numId="7">
    <w:abstractNumId w:val="4"/>
  </w:num>
  <w:num w:numId="8">
    <w:abstractNumId w:val="25"/>
  </w:num>
  <w:num w:numId="9">
    <w:abstractNumId w:val="15"/>
  </w:num>
  <w:num w:numId="10">
    <w:abstractNumId w:val="5"/>
  </w:num>
  <w:num w:numId="11">
    <w:abstractNumId w:val="6"/>
  </w:num>
  <w:num w:numId="12">
    <w:abstractNumId w:val="21"/>
  </w:num>
  <w:num w:numId="13">
    <w:abstractNumId w:val="14"/>
  </w:num>
  <w:num w:numId="14">
    <w:abstractNumId w:val="22"/>
  </w:num>
  <w:num w:numId="15">
    <w:abstractNumId w:val="16"/>
  </w:num>
  <w:num w:numId="1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  <w:num w:numId="20">
    <w:abstractNumId w:val="11"/>
  </w:num>
  <w:num w:numId="21">
    <w:abstractNumId w:val="10"/>
  </w:num>
  <w:num w:numId="22">
    <w:abstractNumId w:val="1"/>
  </w:num>
  <w:num w:numId="23">
    <w:abstractNumId w:val="13"/>
  </w:num>
  <w:num w:numId="24">
    <w:abstractNumId w:val="0"/>
  </w:num>
  <w:num w:numId="25">
    <w:abstractNumId w:val="19"/>
  </w:num>
  <w:num w:numId="26">
    <w:abstractNumId w:val="20"/>
  </w:num>
  <w:num w:numId="27">
    <w:abstractNumId w:val="12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D7"/>
    <w:rsid w:val="00003709"/>
    <w:rsid w:val="00013029"/>
    <w:rsid w:val="00026B95"/>
    <w:rsid w:val="0002756F"/>
    <w:rsid w:val="00080722"/>
    <w:rsid w:val="000B3838"/>
    <w:rsid w:val="000D7139"/>
    <w:rsid w:val="000E140C"/>
    <w:rsid w:val="000E271D"/>
    <w:rsid w:val="000F1186"/>
    <w:rsid w:val="00106F56"/>
    <w:rsid w:val="00107DB3"/>
    <w:rsid w:val="00110301"/>
    <w:rsid w:val="0011180F"/>
    <w:rsid w:val="00112A4D"/>
    <w:rsid w:val="001221F0"/>
    <w:rsid w:val="00122BED"/>
    <w:rsid w:val="00123479"/>
    <w:rsid w:val="00124434"/>
    <w:rsid w:val="0012753F"/>
    <w:rsid w:val="00131EF0"/>
    <w:rsid w:val="00154DB9"/>
    <w:rsid w:val="00155DF4"/>
    <w:rsid w:val="0018151F"/>
    <w:rsid w:val="001838EF"/>
    <w:rsid w:val="001A77C6"/>
    <w:rsid w:val="001C03DF"/>
    <w:rsid w:val="001C6AB8"/>
    <w:rsid w:val="001D36D7"/>
    <w:rsid w:val="001D424B"/>
    <w:rsid w:val="001D6386"/>
    <w:rsid w:val="001F3A74"/>
    <w:rsid w:val="00200B0B"/>
    <w:rsid w:val="0020715B"/>
    <w:rsid w:val="0021653F"/>
    <w:rsid w:val="00221970"/>
    <w:rsid w:val="00223EEB"/>
    <w:rsid w:val="00227075"/>
    <w:rsid w:val="00231924"/>
    <w:rsid w:val="002365DD"/>
    <w:rsid w:val="002374CD"/>
    <w:rsid w:val="00241D4C"/>
    <w:rsid w:val="002636AB"/>
    <w:rsid w:val="00263C08"/>
    <w:rsid w:val="00275687"/>
    <w:rsid w:val="00277751"/>
    <w:rsid w:val="00280C58"/>
    <w:rsid w:val="00282583"/>
    <w:rsid w:val="00282EF7"/>
    <w:rsid w:val="00287818"/>
    <w:rsid w:val="00293569"/>
    <w:rsid w:val="002A0B02"/>
    <w:rsid w:val="002A1D93"/>
    <w:rsid w:val="002A3EB6"/>
    <w:rsid w:val="002A4558"/>
    <w:rsid w:val="002B6797"/>
    <w:rsid w:val="002C4671"/>
    <w:rsid w:val="002D24A7"/>
    <w:rsid w:val="002D7209"/>
    <w:rsid w:val="002E6E9D"/>
    <w:rsid w:val="00300137"/>
    <w:rsid w:val="0030242D"/>
    <w:rsid w:val="003040E4"/>
    <w:rsid w:val="00310A55"/>
    <w:rsid w:val="00316828"/>
    <w:rsid w:val="00322D29"/>
    <w:rsid w:val="003239F2"/>
    <w:rsid w:val="00323D63"/>
    <w:rsid w:val="00330B4F"/>
    <w:rsid w:val="00356DF2"/>
    <w:rsid w:val="00364643"/>
    <w:rsid w:val="0036556D"/>
    <w:rsid w:val="00384F91"/>
    <w:rsid w:val="003B381D"/>
    <w:rsid w:val="003B3918"/>
    <w:rsid w:val="003B52FA"/>
    <w:rsid w:val="003C4ECC"/>
    <w:rsid w:val="003C6E80"/>
    <w:rsid w:val="003E0118"/>
    <w:rsid w:val="00403571"/>
    <w:rsid w:val="00406413"/>
    <w:rsid w:val="00411BC0"/>
    <w:rsid w:val="0041314D"/>
    <w:rsid w:val="00415DDC"/>
    <w:rsid w:val="00432255"/>
    <w:rsid w:val="00433378"/>
    <w:rsid w:val="00434079"/>
    <w:rsid w:val="00434B58"/>
    <w:rsid w:val="004357A5"/>
    <w:rsid w:val="004408C1"/>
    <w:rsid w:val="0044734B"/>
    <w:rsid w:val="00472114"/>
    <w:rsid w:val="00484CCD"/>
    <w:rsid w:val="004A022E"/>
    <w:rsid w:val="004B2B4F"/>
    <w:rsid w:val="004B4091"/>
    <w:rsid w:val="004B4B25"/>
    <w:rsid w:val="004B5EC9"/>
    <w:rsid w:val="004D386A"/>
    <w:rsid w:val="004F0243"/>
    <w:rsid w:val="004F44DB"/>
    <w:rsid w:val="005026D6"/>
    <w:rsid w:val="005107A1"/>
    <w:rsid w:val="005142B5"/>
    <w:rsid w:val="0052629B"/>
    <w:rsid w:val="00533575"/>
    <w:rsid w:val="00537EE1"/>
    <w:rsid w:val="00554C3C"/>
    <w:rsid w:val="00593B8F"/>
    <w:rsid w:val="00596105"/>
    <w:rsid w:val="005A3758"/>
    <w:rsid w:val="005A770B"/>
    <w:rsid w:val="005B61F7"/>
    <w:rsid w:val="005C6140"/>
    <w:rsid w:val="005D1A6C"/>
    <w:rsid w:val="006032F0"/>
    <w:rsid w:val="00605DF1"/>
    <w:rsid w:val="00611279"/>
    <w:rsid w:val="0063108E"/>
    <w:rsid w:val="00634F74"/>
    <w:rsid w:val="006364EF"/>
    <w:rsid w:val="00636B2F"/>
    <w:rsid w:val="00645742"/>
    <w:rsid w:val="006651F2"/>
    <w:rsid w:val="006A18F1"/>
    <w:rsid w:val="006A35E3"/>
    <w:rsid w:val="006B0178"/>
    <w:rsid w:val="006B0637"/>
    <w:rsid w:val="006B4059"/>
    <w:rsid w:val="006B5D65"/>
    <w:rsid w:val="006B5FE0"/>
    <w:rsid w:val="006C2FD6"/>
    <w:rsid w:val="006C446F"/>
    <w:rsid w:val="006F0E5B"/>
    <w:rsid w:val="006F1A37"/>
    <w:rsid w:val="006F1A9D"/>
    <w:rsid w:val="00711EBC"/>
    <w:rsid w:val="00713EF2"/>
    <w:rsid w:val="00726DF8"/>
    <w:rsid w:val="00731700"/>
    <w:rsid w:val="007442CC"/>
    <w:rsid w:val="007448D0"/>
    <w:rsid w:val="00761450"/>
    <w:rsid w:val="00770E1B"/>
    <w:rsid w:val="00772D3B"/>
    <w:rsid w:val="00777484"/>
    <w:rsid w:val="007836E8"/>
    <w:rsid w:val="00786DC8"/>
    <w:rsid w:val="007C0DF8"/>
    <w:rsid w:val="007C32E1"/>
    <w:rsid w:val="007D7AB3"/>
    <w:rsid w:val="008232C1"/>
    <w:rsid w:val="00823452"/>
    <w:rsid w:val="00824314"/>
    <w:rsid w:val="008251A8"/>
    <w:rsid w:val="00830D9D"/>
    <w:rsid w:val="008379C8"/>
    <w:rsid w:val="00840B1D"/>
    <w:rsid w:val="00840FEA"/>
    <w:rsid w:val="0085014C"/>
    <w:rsid w:val="00857050"/>
    <w:rsid w:val="00866273"/>
    <w:rsid w:val="00884103"/>
    <w:rsid w:val="008842D9"/>
    <w:rsid w:val="00885242"/>
    <w:rsid w:val="0089268C"/>
    <w:rsid w:val="008C0222"/>
    <w:rsid w:val="008C07E7"/>
    <w:rsid w:val="008C3884"/>
    <w:rsid w:val="008C4898"/>
    <w:rsid w:val="008D56EA"/>
    <w:rsid w:val="008E034C"/>
    <w:rsid w:val="008E0C97"/>
    <w:rsid w:val="008F35FF"/>
    <w:rsid w:val="0090573C"/>
    <w:rsid w:val="00906600"/>
    <w:rsid w:val="009237DD"/>
    <w:rsid w:val="00927846"/>
    <w:rsid w:val="00933B36"/>
    <w:rsid w:val="00942F89"/>
    <w:rsid w:val="009622A0"/>
    <w:rsid w:val="00966F07"/>
    <w:rsid w:val="00980270"/>
    <w:rsid w:val="009916C7"/>
    <w:rsid w:val="0099314F"/>
    <w:rsid w:val="009A5E63"/>
    <w:rsid w:val="009A7536"/>
    <w:rsid w:val="009B615A"/>
    <w:rsid w:val="009D3B5F"/>
    <w:rsid w:val="009D6482"/>
    <w:rsid w:val="009E4214"/>
    <w:rsid w:val="009E4C07"/>
    <w:rsid w:val="009F0015"/>
    <w:rsid w:val="009F3027"/>
    <w:rsid w:val="009F5041"/>
    <w:rsid w:val="00A04E64"/>
    <w:rsid w:val="00A04EAC"/>
    <w:rsid w:val="00A21333"/>
    <w:rsid w:val="00A649C6"/>
    <w:rsid w:val="00A865F6"/>
    <w:rsid w:val="00A90114"/>
    <w:rsid w:val="00AA4AFE"/>
    <w:rsid w:val="00AB3B3F"/>
    <w:rsid w:val="00AD030F"/>
    <w:rsid w:val="00AD0A50"/>
    <w:rsid w:val="00AD1D1E"/>
    <w:rsid w:val="00AD2A0C"/>
    <w:rsid w:val="00AE5E97"/>
    <w:rsid w:val="00AE66DB"/>
    <w:rsid w:val="00AF1016"/>
    <w:rsid w:val="00AF330F"/>
    <w:rsid w:val="00AF7A9F"/>
    <w:rsid w:val="00B263EA"/>
    <w:rsid w:val="00B30C8D"/>
    <w:rsid w:val="00B32977"/>
    <w:rsid w:val="00B3425A"/>
    <w:rsid w:val="00B3611E"/>
    <w:rsid w:val="00B366B4"/>
    <w:rsid w:val="00B3691C"/>
    <w:rsid w:val="00B40888"/>
    <w:rsid w:val="00B41957"/>
    <w:rsid w:val="00B43606"/>
    <w:rsid w:val="00B44873"/>
    <w:rsid w:val="00B54C5F"/>
    <w:rsid w:val="00B572F7"/>
    <w:rsid w:val="00B72BAA"/>
    <w:rsid w:val="00B73196"/>
    <w:rsid w:val="00B80EE1"/>
    <w:rsid w:val="00B81DD6"/>
    <w:rsid w:val="00B937FD"/>
    <w:rsid w:val="00BA6E9C"/>
    <w:rsid w:val="00BB2660"/>
    <w:rsid w:val="00BC3262"/>
    <w:rsid w:val="00BC6AE8"/>
    <w:rsid w:val="00BD1268"/>
    <w:rsid w:val="00BE0CD2"/>
    <w:rsid w:val="00BE3970"/>
    <w:rsid w:val="00BF73F8"/>
    <w:rsid w:val="00C11591"/>
    <w:rsid w:val="00C209FD"/>
    <w:rsid w:val="00C27AB5"/>
    <w:rsid w:val="00C42945"/>
    <w:rsid w:val="00C5248A"/>
    <w:rsid w:val="00C55386"/>
    <w:rsid w:val="00C76517"/>
    <w:rsid w:val="00C766BB"/>
    <w:rsid w:val="00C76BFE"/>
    <w:rsid w:val="00C86D25"/>
    <w:rsid w:val="00C87603"/>
    <w:rsid w:val="00C9474E"/>
    <w:rsid w:val="00CA1617"/>
    <w:rsid w:val="00CB1126"/>
    <w:rsid w:val="00CB4B85"/>
    <w:rsid w:val="00CB5843"/>
    <w:rsid w:val="00CB5C6C"/>
    <w:rsid w:val="00CC062F"/>
    <w:rsid w:val="00CC1938"/>
    <w:rsid w:val="00CD0B47"/>
    <w:rsid w:val="00CE3F21"/>
    <w:rsid w:val="00CE6E8F"/>
    <w:rsid w:val="00D16331"/>
    <w:rsid w:val="00D27E82"/>
    <w:rsid w:val="00D363CA"/>
    <w:rsid w:val="00D41A2D"/>
    <w:rsid w:val="00D539A9"/>
    <w:rsid w:val="00D617A6"/>
    <w:rsid w:val="00D70240"/>
    <w:rsid w:val="00D73BB6"/>
    <w:rsid w:val="00D76C43"/>
    <w:rsid w:val="00D80B4D"/>
    <w:rsid w:val="00D87DE2"/>
    <w:rsid w:val="00D900F5"/>
    <w:rsid w:val="00D933E9"/>
    <w:rsid w:val="00D94A2D"/>
    <w:rsid w:val="00D963F0"/>
    <w:rsid w:val="00DA11F6"/>
    <w:rsid w:val="00DB44CD"/>
    <w:rsid w:val="00DD0449"/>
    <w:rsid w:val="00DD5CB3"/>
    <w:rsid w:val="00DE01C8"/>
    <w:rsid w:val="00DE741D"/>
    <w:rsid w:val="00DF2B04"/>
    <w:rsid w:val="00E116EB"/>
    <w:rsid w:val="00E12ED5"/>
    <w:rsid w:val="00E16A17"/>
    <w:rsid w:val="00E24451"/>
    <w:rsid w:val="00E27C79"/>
    <w:rsid w:val="00E32B20"/>
    <w:rsid w:val="00E41FF5"/>
    <w:rsid w:val="00E436EF"/>
    <w:rsid w:val="00E44694"/>
    <w:rsid w:val="00E62294"/>
    <w:rsid w:val="00E6306C"/>
    <w:rsid w:val="00E65628"/>
    <w:rsid w:val="00E719D8"/>
    <w:rsid w:val="00E80EA9"/>
    <w:rsid w:val="00E84B3A"/>
    <w:rsid w:val="00E9162D"/>
    <w:rsid w:val="00E928FC"/>
    <w:rsid w:val="00EA2710"/>
    <w:rsid w:val="00EB4996"/>
    <w:rsid w:val="00EB4BFB"/>
    <w:rsid w:val="00EB61EB"/>
    <w:rsid w:val="00EC091E"/>
    <w:rsid w:val="00EC4A14"/>
    <w:rsid w:val="00ED237D"/>
    <w:rsid w:val="00ED4325"/>
    <w:rsid w:val="00ED4610"/>
    <w:rsid w:val="00ED5B99"/>
    <w:rsid w:val="00EE1D72"/>
    <w:rsid w:val="00EE2AB2"/>
    <w:rsid w:val="00EF7042"/>
    <w:rsid w:val="00F0139C"/>
    <w:rsid w:val="00F04DA6"/>
    <w:rsid w:val="00F103D5"/>
    <w:rsid w:val="00F23587"/>
    <w:rsid w:val="00F30F27"/>
    <w:rsid w:val="00F313C3"/>
    <w:rsid w:val="00F35C32"/>
    <w:rsid w:val="00F431F8"/>
    <w:rsid w:val="00F47914"/>
    <w:rsid w:val="00F53ACC"/>
    <w:rsid w:val="00F57716"/>
    <w:rsid w:val="00F57B1A"/>
    <w:rsid w:val="00F57B23"/>
    <w:rsid w:val="00F64D72"/>
    <w:rsid w:val="00F75002"/>
    <w:rsid w:val="00F852B9"/>
    <w:rsid w:val="00F86EF0"/>
    <w:rsid w:val="00F9209A"/>
    <w:rsid w:val="00F92125"/>
    <w:rsid w:val="00FA409A"/>
    <w:rsid w:val="00FA5393"/>
    <w:rsid w:val="00FA65B5"/>
    <w:rsid w:val="00FA7060"/>
    <w:rsid w:val="00FB5EE6"/>
    <w:rsid w:val="00FB7D74"/>
    <w:rsid w:val="00FC2B4B"/>
    <w:rsid w:val="00FD2E99"/>
    <w:rsid w:val="00FD6440"/>
    <w:rsid w:val="00FE2EFB"/>
    <w:rsid w:val="00FE543C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D6F0F7"/>
  <w15:docId w15:val="{BE7532ED-F67D-4CDF-8802-D8B6FB3C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8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1180F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11180F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18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80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1180F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1180F"/>
    <w:rPr>
      <w:rFonts w:ascii="Cambria" w:eastAsia="SimSu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1180F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1D36D7"/>
    <w:rPr>
      <w:strike w:val="0"/>
      <w:dstrike w:val="0"/>
      <w:color w:val="0066CC"/>
      <w:u w:val="none"/>
      <w:effect w:val="none"/>
    </w:rPr>
  </w:style>
  <w:style w:type="table" w:styleId="TableGrid">
    <w:name w:val="Table Grid"/>
    <w:basedOn w:val="TableNormal"/>
    <w:uiPriority w:val="39"/>
    <w:rsid w:val="00DD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27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E16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A17"/>
    <w:rPr>
      <w:rFonts w:ascii="Segoe UI" w:eastAsia="Times New Roman" w:hAnsi="Segoe UI" w:cs="Segoe UI"/>
      <w:sz w:val="18"/>
      <w:szCs w:val="18"/>
      <w:lang w:val="hr-HR" w:eastAsia="hr-HR"/>
    </w:rPr>
  </w:style>
  <w:style w:type="paragraph" w:customStyle="1" w:styleId="Default">
    <w:name w:val="Default"/>
    <w:rsid w:val="00111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11180F"/>
    <w:pPr>
      <w:keepLines/>
      <w:spacing w:before="480" w:after="0" w:line="276" w:lineRule="auto"/>
      <w:outlineLvl w:val="9"/>
    </w:pPr>
    <w:rPr>
      <w:rFonts w:ascii="Cambria" w:eastAsia="SimSun" w:hAnsi="Cambria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180F"/>
    <w:pPr>
      <w:tabs>
        <w:tab w:val="left" w:pos="284"/>
        <w:tab w:val="right" w:leader="dot" w:pos="9062"/>
      </w:tabs>
      <w:spacing w:after="100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1180F"/>
    <w:pPr>
      <w:tabs>
        <w:tab w:val="right" w:leader="dot" w:pos="9062"/>
      </w:tabs>
      <w:spacing w:after="100"/>
      <w:ind w:left="240" w:firstLine="44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11180F"/>
    <w:pPr>
      <w:tabs>
        <w:tab w:val="right" w:leader="dot" w:pos="9628"/>
      </w:tabs>
      <w:spacing w:after="100"/>
      <w:ind w:left="480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180F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18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180F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180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1180F"/>
  </w:style>
  <w:style w:type="character" w:styleId="FollowedHyperlink">
    <w:name w:val="FollowedHyperlink"/>
    <w:rsid w:val="0011180F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11180F"/>
    <w:pPr>
      <w:ind w:left="-720"/>
      <w:jc w:val="both"/>
    </w:pPr>
    <w:rPr>
      <w:sz w:val="20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11180F"/>
    <w:rPr>
      <w:rFonts w:ascii="Times New Roman" w:eastAsia="Times New Roman" w:hAnsi="Times New Roman" w:cs="Times New Roman"/>
      <w:sz w:val="20"/>
      <w:szCs w:val="20"/>
      <w:lang w:val="x-none" w:eastAsia="hr-HR"/>
    </w:rPr>
  </w:style>
  <w:style w:type="paragraph" w:styleId="NormalWeb">
    <w:name w:val="Normal (Web)"/>
    <w:basedOn w:val="Normal"/>
    <w:uiPriority w:val="99"/>
    <w:rsid w:val="0011180F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99"/>
    <w:qFormat/>
    <w:rsid w:val="0011180F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uiPriority w:val="21"/>
    <w:qFormat/>
    <w:rsid w:val="0011180F"/>
    <w:rPr>
      <w:b/>
      <w:bCs/>
      <w:i/>
      <w:iCs/>
      <w:color w:val="4F81BD"/>
    </w:rPr>
  </w:style>
  <w:style w:type="character" w:customStyle="1" w:styleId="apple-converted-space">
    <w:name w:val="apple-converted-space"/>
    <w:rsid w:val="0011180F"/>
  </w:style>
  <w:style w:type="paragraph" w:styleId="Caption">
    <w:name w:val="caption"/>
    <w:basedOn w:val="Normal"/>
    <w:next w:val="Normal"/>
    <w:uiPriority w:val="35"/>
    <w:unhideWhenUsed/>
    <w:qFormat/>
    <w:rsid w:val="0011180F"/>
    <w:rPr>
      <w:b/>
      <w:bCs/>
      <w:sz w:val="20"/>
      <w:szCs w:val="20"/>
      <w:lang w:eastAsia="en-US"/>
    </w:rPr>
  </w:style>
  <w:style w:type="paragraph" w:customStyle="1" w:styleId="xmsonormal">
    <w:name w:val="x_msonormal"/>
    <w:basedOn w:val="Normal"/>
    <w:rsid w:val="00F64D72"/>
    <w:pPr>
      <w:spacing w:before="100" w:beforeAutospacing="1" w:after="100" w:afterAutospacing="1"/>
    </w:pPr>
    <w:rPr>
      <w:lang w:eastAsia="bs-Latn-BA"/>
    </w:rPr>
  </w:style>
  <w:style w:type="paragraph" w:styleId="Revision">
    <w:name w:val="Revision"/>
    <w:hidden/>
    <w:uiPriority w:val="99"/>
    <w:semiHidden/>
    <w:rsid w:val="00B3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msonospacing">
    <w:name w:val="x_msonospacing"/>
    <w:basedOn w:val="Normal"/>
    <w:rsid w:val="00322D29"/>
    <w:pPr>
      <w:spacing w:before="100" w:beforeAutospacing="1" w:after="100" w:afterAutospacing="1"/>
    </w:pPr>
    <w:rPr>
      <w:lang w:eastAsia="ja-JP"/>
    </w:rPr>
  </w:style>
  <w:style w:type="character" w:styleId="Strong">
    <w:name w:val="Strong"/>
    <w:basedOn w:val="DefaultParagraphFont"/>
    <w:uiPriority w:val="22"/>
    <w:qFormat/>
    <w:rsid w:val="00F57716"/>
    <w:rPr>
      <w:b/>
      <w:bCs/>
    </w:rPr>
  </w:style>
  <w:style w:type="paragraph" w:customStyle="1" w:styleId="Normal1">
    <w:name w:val="Normal1"/>
    <w:basedOn w:val="Normal"/>
    <w:rsid w:val="00122BED"/>
    <w:pPr>
      <w:spacing w:before="100" w:beforeAutospacing="1" w:after="100" w:afterAutospacing="1"/>
    </w:pPr>
    <w:rPr>
      <w:lang w:eastAsia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0E14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40C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customStyle="1" w:styleId="Normalno1">
    <w:name w:val="Normalno1"/>
    <w:basedOn w:val="Normal"/>
    <w:rsid w:val="004B4B25"/>
    <w:pPr>
      <w:spacing w:before="100" w:beforeAutospacing="1" w:after="100" w:afterAutospacing="1"/>
    </w:pPr>
    <w:rPr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o.b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C3E78-267D-4BD3-BEFD-09A41A0B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5534</Words>
  <Characters>31549</Characters>
  <Application>Microsoft Office Word</Application>
  <DocSecurity>4</DocSecurity>
  <Lines>262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 OPF</dc:creator>
  <cp:keywords/>
  <dc:description/>
  <cp:lastModifiedBy>Emza Fazlić</cp:lastModifiedBy>
  <cp:revision>2</cp:revision>
  <cp:lastPrinted>2021-01-19T09:52:00Z</cp:lastPrinted>
  <dcterms:created xsi:type="dcterms:W3CDTF">2021-02-19T12:43:00Z</dcterms:created>
  <dcterms:modified xsi:type="dcterms:W3CDTF">2021-02-19T12:43:00Z</dcterms:modified>
</cp:coreProperties>
</file>